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PARECER JURÍDICO N° 07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7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04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2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>AUTORIA: Poder Executivo</w:t>
      </w:r>
    </w:p>
    <w:p>
      <w:pPr>
        <w:pStyle w:val="Normal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highlight w:val="white"/>
        </w:rPr>
        <w:t xml:space="preserve">EMENTA: </w:t>
      </w:r>
      <w:r>
        <w:rPr>
          <w:rFonts w:eastAsia="Calibri" w:cs="Calibri" w:ascii="Arial" w:hAnsi="Arial" w:cstheme="majorHAnsi"/>
          <w:b w:val="false"/>
          <w:bCs w:val="false"/>
          <w:i/>
          <w:iCs/>
          <w:color w:val="333333"/>
          <w:sz w:val="24"/>
          <w:szCs w:val="24"/>
          <w:highlight w:val="white"/>
          <w:lang w:val="pt-BR"/>
        </w:rPr>
        <w:t>“Altera o Anexo III da Lei Municipal nº 5.846, de 23 de dezembro de 2025, que dispõe sobre o Plano de Carreira dos Servidores que integram o Magistério Público Municipal de Igrejinha, para ampliar o número de cargos de Educador Multimeios"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Protocolado em 13/07/2026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Encaminhado à Comissão na 23ª SO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/>
          <w:bCs/>
          <w:color w:val="000000"/>
          <w:sz w:val="24"/>
          <w:szCs w:val="24"/>
          <w:lang w:val="de-DE"/>
        </w:rPr>
        <w:t>Rito de urgência</w:t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 – RELATÓRIO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A mesa Diretora da Câmara de Vereadores de Igrejinha encaminhou, nesta data, para essa Procuradoria Jurídica pedido de análise e emissão de parecer jurídico de proposição de autoria do Executivo Municipal.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É o sucinto relatório.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Passo à análise jurídica.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II – ANÁLISE JURÍDICA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ind w:firstLine="850"/>
        <w:jc w:val="both"/>
        <w:rPr/>
      </w:pPr>
      <w:r>
        <w:rPr>
          <w:rFonts w:eastAsia="Calibri" w:cs="Calibri" w:ascii="Arial" w:hAnsi="Arial" w:cstheme="majorHAnsi"/>
          <w:sz w:val="24"/>
          <w:szCs w:val="24"/>
        </w:rPr>
        <w:t>Quanto ao rito processual, o Executivo solicitou urgência na análise da matéria de forma justificada, motivo pelo qual o projeto tramita em regime de URGÊNCIA.</w:t>
      </w:r>
    </w:p>
    <w:p>
      <w:pPr>
        <w:pStyle w:val="Normal"/>
        <w:widowControl w:val="false"/>
        <w:spacing w:lineRule="auto" w:line="240"/>
        <w:ind w:firstLine="850"/>
        <w:jc w:val="both"/>
        <w:rPr/>
      </w:pPr>
      <w:r>
        <w:rPr>
          <w:rFonts w:eastAsia="Calibri" w:cs="Calibri" w:ascii="Arial" w:hAnsi="Arial" w:cstheme="majorHAnsi"/>
          <w:sz w:val="24"/>
          <w:szCs w:val="24"/>
        </w:rPr>
        <w:t xml:space="preserve">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Da Competência e iniciativa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bookmarkStart w:id="0" w:name="_Hlk196227748"/>
      <w:bookmarkEnd w:id="0"/>
      <w:r>
        <w:rPr>
          <w:rFonts w:eastAsia="Calibri" w:cs="Calibri" w:ascii="Arial" w:hAnsi="Arial"/>
          <w:sz w:val="24"/>
          <w:szCs w:val="24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spacing w:lineRule="auto" w:line="240"/>
        <w:ind w:firstLine="85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firstLine="85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i/>
          <w:sz w:val="24"/>
          <w:szCs w:val="24"/>
        </w:rPr>
        <w:t>“</w:t>
      </w:r>
      <w:r>
        <w:rPr>
          <w:rFonts w:eastAsia="Calibri" w:cs="Calibri" w:ascii="Arial" w:hAnsi="Arial"/>
          <w:i/>
          <w:sz w:val="24"/>
          <w:szCs w:val="24"/>
        </w:rPr>
        <w:t>Art. 30. Compete aos Municípios:</w:t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i/>
          <w:sz w:val="24"/>
          <w:szCs w:val="24"/>
        </w:rPr>
        <w:t>I - legislar sobre assuntos de interesse local; [...]</w:t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ascii="Arial" w:hAnsi="Arial" w:eastAsia="Calibri" w:cs="Calibri"/>
          <w:i/>
          <w:i/>
          <w:sz w:val="24"/>
          <w:szCs w:val="24"/>
        </w:rPr>
      </w:pPr>
      <w:r>
        <w:rPr>
          <w:rFonts w:eastAsia="Calibri" w:cs="Calibri" w:ascii="Arial" w:hAnsi="Arial"/>
          <w:i/>
          <w:sz w:val="24"/>
          <w:szCs w:val="24"/>
        </w:rPr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eastAsia="Calibri" w:cs="Calibri" w:cstheme="majorHAnsi"/>
        </w:rPr>
      </w:pPr>
      <w:r>
        <w:rPr>
          <w:rFonts w:eastAsia="Calibri" w:cs="Calibri" w:cstheme="majorHAnsi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Ademais, a Lei Orgânica do Município de Igrejinha tratou no inciso I e VI, do Art. 46, da competência privativa do Prefeito Municipal no tocante a criação de cargos e aos servidores públicos municipais.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>“</w:t>
      </w:r>
      <w:r>
        <w:rPr>
          <w:rFonts w:eastAsia="Calibri" w:cs="Arial" w:ascii="Arial" w:hAnsi="Arial"/>
          <w:i/>
          <w:sz w:val="24"/>
          <w:szCs w:val="24"/>
        </w:rPr>
        <w:t>Art. 46. São de iniciativa privativa do Prefeito, os projetos de lei que disponham sobre: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 xml:space="preserve">I - criação, alteração e extinção de cargo, função pública ou emprego do Poder Executivo e autarquias do Município; 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>II - criação de novas vantagens de qualquer espécie, aos servidores públicos do Poder Executivo, e, aumento de vencimentos;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 xml:space="preserve">III - organização administrativa dos serviços do Município; 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 xml:space="preserve">IV - matéria tributária; 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 xml:space="preserve">V - Plano Plurianual, diretrizes orçamentárias e orçamento anual; 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>VI - Servidor Público Municipal e seu regime jurídico.”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 w:eastAsia="Calibri" w:cs="Arial"/>
          <w:i/>
          <w:i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Também verificamos que o Executivo Municipal fez uso da prerrogativa a ele reconhecida pela Lei Orgânica de Igrejinha para iniciar o processo legislativo, de modo que, nada há quanto a este requisito que possa macular a constitucionalidade do respectivo projeto de lei.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  <w:t xml:space="preserve">Quanto a matéria, o projeto visa </w:t>
      </w:r>
      <w:r>
        <w:rPr>
          <w:rFonts w:eastAsia="Calibri" w:cs="Calibri" w:ascii="Arial" w:hAnsi="Arial"/>
          <w:sz w:val="24"/>
          <w:szCs w:val="24"/>
          <w:shd w:fill="auto" w:val="clear"/>
        </w:rPr>
        <w:t>aumentar o quantitativo de cargos de Educador Multimeios 40 horas, passando de 134 para 144 cargos no quadro de servidores permanentes. O projeto contém a estimativa do impacto orçamentário, estimado em R$82.626,47 mensais, sendo compatível com a receita municipal.</w:t>
      </w:r>
      <w:r>
        <w:rPr>
          <w:rFonts w:eastAsia="Calibri" w:cs="Calibri" w:ascii="Arial" w:hAnsi="Arial"/>
          <w:sz w:val="24"/>
          <w:szCs w:val="24"/>
          <w:shd w:fill="auto" w:val="clear"/>
        </w:rPr>
        <w:t xml:space="preserve">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Calibri"/>
          <w:sz w:val="24"/>
          <w:szCs w:val="24"/>
          <w:shd w:fill="auto" w:val="clear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Assim, a matéria não apresenta ilegalidade e o projeto atende os requisitos formais sendo viável a sua apreciação.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LOnormal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  <w:u w:val="single"/>
        </w:rPr>
        <w:t>III – CONCLUSÃO</w:t>
      </w:r>
      <w:r>
        <w:rPr>
          <w:rFonts w:eastAsia="Calibri" w:cs="Arial" w:ascii="Arial" w:hAnsi="Arial"/>
          <w:b/>
          <w:sz w:val="24"/>
          <w:szCs w:val="24"/>
        </w:rPr>
        <w:t xml:space="preserve"> </w:t>
      </w:r>
    </w:p>
    <w:p>
      <w:pPr>
        <w:pStyle w:val="LOnormal"/>
        <w:spacing w:lineRule="auto" w:line="240"/>
        <w:ind w:left="2260" w:firstLine="7"/>
        <w:jc w:val="both"/>
        <w:rPr>
          <w:rFonts w:ascii="Arial" w:hAnsi="Arial" w:eastAsia="Calibri" w:cs="Arial"/>
          <w:i/>
          <w:i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Assim sendo, esta Assessoria Jurídica opina pela </w:t>
      </w:r>
      <w:r>
        <w:rPr>
          <w:rFonts w:eastAsia="Calibri" w:cs="Arial" w:ascii="Arial" w:hAnsi="Arial"/>
          <w:b/>
          <w:i/>
          <w:sz w:val="24"/>
          <w:szCs w:val="24"/>
        </w:rPr>
        <w:t xml:space="preserve">legalidade </w:t>
      </w:r>
      <w:r>
        <w:rPr>
          <w:rFonts w:eastAsia="Calibri" w:cs="Arial" w:ascii="Arial" w:hAnsi="Arial"/>
          <w:sz w:val="24"/>
          <w:szCs w:val="24"/>
        </w:rPr>
        <w:t>e</w:t>
      </w:r>
      <w:r>
        <w:rPr>
          <w:rFonts w:eastAsia="Calibri" w:cs="Arial" w:ascii="Arial" w:hAnsi="Arial"/>
          <w:b/>
          <w:i/>
          <w:sz w:val="24"/>
          <w:szCs w:val="24"/>
        </w:rPr>
        <w:t xml:space="preserve"> constitucionalidade</w:t>
      </w:r>
      <w:r>
        <w:rPr>
          <w:rFonts w:eastAsia="Calibri" w:cs="Arial" w:ascii="Arial" w:hAnsi="Arial"/>
          <w:i/>
          <w:sz w:val="24"/>
          <w:szCs w:val="24"/>
        </w:rPr>
        <w:t xml:space="preserve"> </w:t>
      </w:r>
      <w:r>
        <w:rPr>
          <w:rFonts w:eastAsia="Calibri" w:cs="Arial" w:ascii="Arial" w:hAnsi="Arial"/>
          <w:sz w:val="24"/>
          <w:szCs w:val="24"/>
        </w:rPr>
        <w:t>do referido projeto de Lei, tendo em vista que em análise não se observou qualquer vício em sua redação.</w:t>
      </w:r>
    </w:p>
    <w:p>
      <w:pPr>
        <w:pStyle w:val="LO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Portanto, 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Este é o parecer.</w:t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Igrejinha, </w:t>
      </w:r>
      <w:r>
        <w:rPr>
          <w:rFonts w:eastAsia="Calibri" w:cs="Arial" w:ascii="Arial" w:hAnsi="Arial"/>
          <w:sz w:val="24"/>
          <w:szCs w:val="24"/>
        </w:rPr>
        <w:t>23</w:t>
      </w:r>
      <w:r>
        <w:rPr>
          <w:rFonts w:eastAsia="Calibri" w:cs="Arial" w:ascii="Arial" w:hAnsi="Arial"/>
          <w:sz w:val="24"/>
          <w:szCs w:val="24"/>
        </w:rPr>
        <w:t xml:space="preserve"> de julho de 2026.</w:t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Anderson Fidelis de Araujo </w:t>
      </w:r>
    </w:p>
    <w:p>
      <w:pPr>
        <w:pStyle w:val="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Assessor Jurídico</w:t>
      </w:r>
    </w:p>
    <w:p>
      <w:pPr>
        <w:pStyle w:val="Normal"/>
        <w:spacing w:lineRule="auto" w:line="240"/>
        <w:ind w:firstLine="850"/>
        <w:jc w:val="both"/>
        <w:rPr>
          <w:rFonts w:eastAsia="Calibri" w:cs="Calibri" w:cstheme="majorHAnsi"/>
        </w:rPr>
      </w:pPr>
      <w:bookmarkStart w:id="1" w:name="_Hlk1962277481"/>
      <w:bookmarkEnd w:id="1"/>
      <w:r>
        <w:rPr>
          <w:rFonts w:eastAsia="Calibri" w:cs="Arial" w:ascii="Arial" w:hAnsi="Arial"/>
          <w:sz w:val="24"/>
          <w:szCs w:val="24"/>
        </w:rPr>
        <w:t>OAB/RS 58.063.</w:t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hyperlink r:id="rId1">
      <w:r>
        <w:rPr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color w:val="000000"/>
        <w:sz w:val="20"/>
        <w:szCs w:val="20"/>
      </w:rPr>
    </w:pPr>
    <w:r>
      <w:drawing>
        <wp:anchor behindDoc="0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>
    <w:name w:val="Caracteres de nota de rodapé"/>
    <w:qFormat/>
    <w:rPr/>
  </w:style>
  <w:style w:type="character" w:styleId="Ncoradanotaderodap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96b7c"/>
    <w:pPr>
      <w:spacing w:before="0" w:after="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Application>LibreOffice/7.4.0.3$Windows_X86_64 LibreOffice_project/f85e47c08ddd19c015c0114a68350214f7066f5a</Application>
  <AppVersion>15.0000</AppVersion>
  <Pages>2</Pages>
  <Words>535</Words>
  <Characters>2929</Characters>
  <CharactersWithSpaces>3441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2025-01-09T13:04:00Z</dcterms:created>
  <dc:creator>A.F.A Advogado</dc:creator>
  <dc:description/>
  <dc:language>pt-BR</dc:language>
  <cp:lastModifiedBy/>
  <cp:lastPrinted>2026-05-12T15:40:44Z</cp:lastPrinted>
  <dcterms:modified xsi:type="dcterms:W3CDTF">2026-07-28T14:11:43Z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