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eastAsia="Calibri" w:cs="Calibri"/>
          <w:b/>
          <w:b/>
          <w:color w:val="000000"/>
          <w:u w:val="single"/>
        </w:rPr>
      </w:pPr>
      <w:r>
        <w:rPr>
          <w:rFonts w:eastAsia="Calibri" w:cs="Calibri" w:ascii="Arial" w:hAnsi="Arial"/>
          <w:b/>
          <w:color w:val="000000"/>
          <w:u w:val="single"/>
        </w:rPr>
      </w:r>
    </w:p>
    <w:p>
      <w:pPr>
        <w:pStyle w:val="Normal"/>
        <w:jc w:val="center"/>
        <w:rPr/>
      </w:pPr>
      <w:r>
        <w:rPr>
          <w:rFonts w:eastAsia="Calibri" w:cs="Calibri" w:ascii="Arial" w:hAnsi="Arial"/>
          <w:b/>
          <w:color w:val="000000"/>
          <w:u w:val="single"/>
        </w:rPr>
        <w:t>PARECER JURÍDICO N° 08</w:t>
      </w:r>
      <w:r>
        <w:rPr>
          <w:rFonts w:eastAsia="Calibri" w:cs="Calibri" w:ascii="Arial" w:hAnsi="Arial"/>
          <w:b/>
          <w:color w:val="000000"/>
          <w:u w:val="single"/>
        </w:rPr>
        <w:t>7</w:t>
      </w:r>
      <w:r>
        <w:rPr>
          <w:rFonts w:eastAsia="Calibri" w:cs="Calibri" w:ascii="Arial" w:hAnsi="Arial"/>
          <w:b/>
          <w:color w:val="000000"/>
          <w:u w:val="single"/>
        </w:rPr>
        <w:t>/2026</w:t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Normal"/>
        <w:widowControl w:val="false"/>
        <w:jc w:val="both"/>
        <w:rPr/>
      </w:pPr>
      <w:r>
        <w:rPr>
          <w:rFonts w:eastAsia="Calibri" w:cs="Arial" w:ascii="Arial" w:hAnsi="Arial"/>
          <w:b/>
          <w:color w:val="000000"/>
        </w:rPr>
        <w:t>MATÉRIA: PLL</w:t>
      </w:r>
      <w:r>
        <w:rPr>
          <w:rFonts w:eastAsia="Calibri" w:cs="Calibri" w:ascii="Arial" w:hAnsi="Arial"/>
          <w:b/>
          <w:color w:val="000000"/>
        </w:rPr>
        <w:t xml:space="preserve"> 05</w:t>
      </w:r>
      <w:r>
        <w:rPr>
          <w:rFonts w:eastAsia="Calibri" w:cs="Calibri" w:ascii="Arial" w:hAnsi="Arial"/>
          <w:b/>
          <w:color w:val="000000"/>
        </w:rPr>
        <w:t>5</w:t>
      </w:r>
      <w:r>
        <w:rPr>
          <w:rFonts w:eastAsia="Calibri" w:cs="Calibri" w:ascii="Arial" w:hAnsi="Arial"/>
          <w:b/>
          <w:color w:val="000000"/>
        </w:rPr>
        <w:t>/2026</w:t>
      </w:r>
    </w:p>
    <w:p>
      <w:pPr>
        <w:pStyle w:val="Normal"/>
        <w:widowControl w:val="false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  <w:t xml:space="preserve">AUTORIA: Vereador Neimar Parreira </w:t>
      </w:r>
    </w:p>
    <w:p>
      <w:pPr>
        <w:pStyle w:val="Normal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hd w:fill="FFFFFF" w:val="clear"/>
        </w:rPr>
        <w:t>EMENTA:</w:t>
      </w:r>
      <w:r>
        <w:rPr>
          <w:rFonts w:cs="Arial" w:ascii="Arial" w:hAnsi="Arial"/>
        </w:rPr>
        <w:t xml:space="preserve"> </w:t>
      </w:r>
      <w:r>
        <w:rPr>
          <w:rFonts w:ascii="Arial" w:hAnsi="Arial"/>
        </w:rPr>
        <w:t xml:space="preserve">que "Denomina via pública no Bairro </w:t>
      </w:r>
      <w:r>
        <w:rPr>
          <w:rFonts w:ascii="Arial" w:hAnsi="Arial"/>
        </w:rPr>
        <w:t>Viaduto</w:t>
      </w:r>
      <w:r>
        <w:rPr>
          <w:rFonts w:ascii="Arial" w:hAnsi="Arial"/>
        </w:rPr>
        <w:t>";</w:t>
      </w:r>
    </w:p>
    <w:p>
      <w:pPr>
        <w:pStyle w:val="Normal"/>
        <w:widowControl w:val="false"/>
        <w:jc w:val="both"/>
        <w:rPr/>
      </w:pPr>
      <w:r>
        <w:rPr>
          <w:rFonts w:eastAsia="Calibri" w:cs="Calibri" w:ascii="Arial" w:hAnsi="Arial"/>
          <w:bCs/>
          <w:lang w:val="de-DE"/>
        </w:rPr>
        <w:t>Protocolado em 0</w:t>
      </w:r>
      <w:r>
        <w:rPr>
          <w:rFonts w:eastAsia="Calibri" w:cs="Calibri" w:ascii="Arial" w:hAnsi="Arial"/>
          <w:bCs/>
          <w:lang w:val="de-DE"/>
        </w:rPr>
        <w:t>9</w:t>
      </w:r>
      <w:r>
        <w:rPr>
          <w:rFonts w:eastAsia="Calibri" w:cs="Calibri" w:ascii="Arial" w:hAnsi="Arial"/>
          <w:bCs/>
          <w:lang w:val="de-DE"/>
        </w:rPr>
        <w:t>/0</w:t>
      </w:r>
      <w:r>
        <w:rPr>
          <w:rFonts w:eastAsia="Calibri" w:cs="Calibri" w:ascii="Arial" w:hAnsi="Arial"/>
          <w:bCs/>
          <w:lang w:val="de-DE"/>
        </w:rPr>
        <w:t>7</w:t>
      </w:r>
      <w:r>
        <w:rPr>
          <w:rFonts w:eastAsia="Calibri" w:cs="Calibri" w:ascii="Arial" w:hAnsi="Arial"/>
          <w:bCs/>
          <w:lang w:val="de-DE"/>
        </w:rPr>
        <w:t>/2026</w:t>
      </w:r>
    </w:p>
    <w:p>
      <w:pPr>
        <w:pStyle w:val="Normal"/>
        <w:widowControl w:val="false"/>
        <w:jc w:val="both"/>
        <w:rPr/>
      </w:pPr>
      <w:r>
        <w:rPr>
          <w:rFonts w:eastAsia="Calibri" w:cs="Calibri" w:ascii="Arial" w:hAnsi="Arial"/>
          <w:bCs/>
          <w:lang w:val="de-DE"/>
        </w:rPr>
        <w:t xml:space="preserve">Encaminhado à Comissão na </w:t>
      </w:r>
      <w:r>
        <w:rPr>
          <w:rFonts w:eastAsia="Calibri" w:cs="Calibri" w:ascii="Arial" w:hAnsi="Arial"/>
          <w:bCs/>
          <w:lang w:val="de-DE"/>
        </w:rPr>
        <w:t>23</w:t>
      </w:r>
      <w:r>
        <w:rPr>
          <w:rFonts w:eastAsia="Calibri" w:cs="Calibri" w:ascii="Arial" w:hAnsi="Arial"/>
          <w:bCs/>
          <w:lang w:val="de-DE"/>
        </w:rPr>
        <w:t xml:space="preserve">ª SO </w:t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  <w:bCs/>
          <w:color w:val="000000"/>
          <w:lang w:val="de-DE"/>
        </w:rPr>
      </w:pPr>
      <w:r>
        <w:rPr>
          <w:rFonts w:eastAsia="Calibri" w:cs="Calibri" w:ascii="Arial" w:hAnsi="Arial"/>
          <w:b/>
          <w:bCs/>
          <w:color w:val="000000"/>
          <w:lang w:val="de-DE"/>
        </w:rPr>
        <w:t>Rito normal.</w:t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  <w:t>I – RELATÓRIO</w:t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 xml:space="preserve">A mesa Diretora da Câmara de Vereadores de Igrejinha encaminhou, nesta data, para essa Procuradoria Jurídica pedido de análise e emissão de parecer jurídico de proposição de autoria de Vereador 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>É o sucinto relatório.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>Passo à análise jurídica.</w:t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  <w:t>II – ANÁLISE JURÍDICA</w:t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  <w:t xml:space="preserve"> </w:t>
      </w:r>
    </w:p>
    <w:p>
      <w:pPr>
        <w:pStyle w:val="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 xml:space="preserve">Quanto ao rito processual, o projeto tramita sem regime de urgência. 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rPr>
          <w:rFonts w:ascii="Arial" w:hAnsi="Arial" w:cs="Calibri"/>
          <w:b/>
          <w:b/>
        </w:rPr>
      </w:pPr>
      <w:r>
        <w:rPr>
          <w:rFonts w:cs="Calibri" w:ascii="Arial" w:hAnsi="Arial"/>
          <w:b/>
        </w:rPr>
        <w:t>Da Competência e iniciativa</w:t>
      </w:r>
    </w:p>
    <w:p>
      <w:pPr>
        <w:pStyle w:val="LOnormal"/>
        <w:rPr>
          <w:rFonts w:ascii="Arial" w:hAnsi="Arial" w:cs="Calibri"/>
          <w:b/>
          <w:b/>
        </w:rPr>
      </w:pPr>
      <w:r>
        <w:rPr>
          <w:rFonts w:cs="Calibri" w:ascii="Arial" w:hAnsi="Arial"/>
          <w:b/>
        </w:rPr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ind w:firstLine="851"/>
        <w:rPr>
          <w:rFonts w:ascii="Arial" w:hAnsi="Arial" w:cs="Calibri"/>
        </w:rPr>
      </w:pPr>
      <w:r>
        <w:rPr>
          <w:rFonts w:cs="Calibri" w:ascii="Arial" w:hAnsi="Arial"/>
        </w:rPr>
      </w:r>
    </w:p>
    <w:p>
      <w:pPr>
        <w:pStyle w:val="LOnormal"/>
        <w:ind w:firstLine="851"/>
        <w:rPr>
          <w:rFonts w:ascii="Arial" w:hAnsi="Arial" w:cs="Calibri"/>
          <w:i/>
          <w:i/>
        </w:rPr>
      </w:pPr>
      <w:r>
        <w:rPr>
          <w:rFonts w:cs="Calibri" w:ascii="Arial" w:hAnsi="Arial"/>
          <w:i/>
        </w:rPr>
        <w:t>“</w:t>
      </w:r>
      <w:r>
        <w:rPr>
          <w:rFonts w:cs="Calibri" w:ascii="Arial" w:hAnsi="Arial"/>
          <w:i/>
        </w:rPr>
        <w:t>Art. 30. Compete aos Municípios:</w:t>
      </w:r>
    </w:p>
    <w:p>
      <w:pPr>
        <w:pStyle w:val="LOnormal"/>
        <w:ind w:firstLine="851"/>
        <w:rPr>
          <w:rFonts w:ascii="Arial" w:hAnsi="Arial" w:cs="Calibri"/>
          <w:i/>
          <w:i/>
        </w:rPr>
      </w:pPr>
      <w:r>
        <w:rPr>
          <w:rFonts w:cs="Calibri" w:ascii="Arial" w:hAnsi="Arial"/>
          <w:i/>
        </w:rPr>
        <w:t>I - legislar sobre assuntos de interesse local; [...]</w:t>
      </w:r>
    </w:p>
    <w:p>
      <w:pPr>
        <w:pStyle w:val="LOnormal"/>
        <w:ind w:firstLine="851"/>
        <w:rPr>
          <w:rFonts w:ascii="Arial" w:hAnsi="Arial" w:cs="Calibri"/>
          <w:i/>
          <w:i/>
        </w:rPr>
      </w:pPr>
      <w:r>
        <w:rPr>
          <w:rFonts w:cs="Calibri" w:ascii="Arial" w:hAnsi="Arial"/>
          <w:i/>
        </w:rPr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  <w:t xml:space="preserve">Também verificamos que os Vereadores fazem uso da prerrogativa a eles reconhecida pela Lei Orgânica de Igrejinha para iniciar o processo legislativo, de modo que, nada há quanto a este requisito que possa macular a constitucionalidade do respectivo projeto de lei.  </w:t>
      </w:r>
    </w:p>
    <w:p>
      <w:pPr>
        <w:pStyle w:val="LOnormal"/>
        <w:ind w:firstLine="851"/>
        <w:rPr>
          <w:rFonts w:ascii="Arial" w:hAnsi="Arial" w:cs="Calibri"/>
        </w:rPr>
      </w:pPr>
      <w:r>
        <w:rPr>
          <w:rFonts w:cs="Calibri" w:ascii="Arial" w:hAnsi="Arial"/>
        </w:rPr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  <w:t>Quanto ao objeto, o projeto visa nomear via pública e está acompanhado da biografia do homenageado e certidão de óbito, atestando o falecimento há mais de um ano. Além disso, o projeto identifica a via nomeada com as coordenadas geográficas, estando presentes os requisitos legais e formais.</w:t>
      </w:r>
    </w:p>
    <w:p>
      <w:pPr>
        <w:pStyle w:val="LOnormal"/>
        <w:ind w:firstLine="851"/>
        <w:rPr>
          <w:rFonts w:ascii="Arial" w:hAnsi="Arial" w:cs="Calibri"/>
          <w:b/>
          <w:b/>
          <w:u w:val="single"/>
        </w:rPr>
      </w:pPr>
      <w:r>
        <w:rPr>
          <w:rFonts w:cs="Calibri" w:ascii="Arial" w:hAnsi="Arial"/>
          <w:b/>
          <w:u w:val="single"/>
        </w:rPr>
      </w:r>
    </w:p>
    <w:p>
      <w:pPr>
        <w:pStyle w:val="LOnormal"/>
        <w:ind w:firstLine="851"/>
        <w:rPr>
          <w:rFonts w:ascii="Arial" w:hAnsi="Arial" w:cs="Calibri"/>
          <w:b/>
          <w:b/>
          <w:u w:val="single"/>
        </w:rPr>
      </w:pPr>
      <w:r>
        <w:rPr>
          <w:rFonts w:cs="Calibri" w:ascii="Arial" w:hAnsi="Arial"/>
          <w:b/>
          <w:u w:val="single"/>
        </w:rPr>
      </w:r>
    </w:p>
    <w:p>
      <w:pPr>
        <w:pStyle w:val="LOnormal"/>
        <w:ind w:firstLine="851"/>
        <w:rPr>
          <w:rFonts w:ascii="Arial" w:hAnsi="Arial" w:cs="Calibri"/>
          <w:b/>
          <w:b/>
          <w:u w:val="single"/>
        </w:rPr>
      </w:pPr>
      <w:r>
        <w:rPr>
          <w:rFonts w:cs="Calibri" w:ascii="Arial" w:hAnsi="Arial"/>
          <w:b/>
          <w:u w:val="single"/>
        </w:rPr>
      </w:r>
    </w:p>
    <w:p>
      <w:pPr>
        <w:pStyle w:val="LOnormal"/>
        <w:ind w:firstLine="851"/>
        <w:rPr>
          <w:rFonts w:ascii="Arial" w:hAnsi="Arial" w:cs="Calibri"/>
          <w:b/>
          <w:b/>
          <w:u w:val="single"/>
        </w:rPr>
      </w:pPr>
      <w:r>
        <w:rPr>
          <w:rFonts w:cs="Calibri" w:ascii="Arial" w:hAnsi="Arial"/>
          <w:b/>
          <w:u w:val="single"/>
        </w:rPr>
      </w:r>
    </w:p>
    <w:p>
      <w:pPr>
        <w:pStyle w:val="LOnormal"/>
        <w:rPr/>
      </w:pPr>
      <w:r>
        <w:rPr>
          <w:rFonts w:cs="Calibri" w:ascii="Arial" w:hAnsi="Arial"/>
          <w:b/>
          <w:u w:val="single"/>
        </w:rPr>
        <w:t>III – CONCLUSÃO</w:t>
      </w:r>
      <w:r>
        <w:rPr>
          <w:rFonts w:cs="Calibri" w:ascii="Arial" w:hAnsi="Arial"/>
          <w:b/>
        </w:rPr>
        <w:t xml:space="preserve"> </w:t>
      </w:r>
    </w:p>
    <w:p>
      <w:pPr>
        <w:pStyle w:val="LOnormal"/>
        <w:ind w:firstLine="851"/>
        <w:rPr>
          <w:rFonts w:ascii="Arial" w:hAnsi="Arial" w:cs="Calibri"/>
          <w:i/>
          <w:i/>
        </w:rPr>
      </w:pPr>
      <w:r>
        <w:rPr>
          <w:rFonts w:cs="Calibri" w:ascii="Arial" w:hAnsi="Arial"/>
          <w:i/>
        </w:rPr>
      </w:r>
    </w:p>
    <w:p>
      <w:pPr>
        <w:pStyle w:val="LOnormal"/>
        <w:ind w:firstLine="851"/>
        <w:jc w:val="both"/>
        <w:rPr/>
      </w:pPr>
      <w:r>
        <w:rPr>
          <w:rFonts w:cs="Calibri" w:ascii="Arial" w:hAnsi="Arial"/>
        </w:rPr>
        <w:t xml:space="preserve">Assim sendo, esta Assessoria Jurídica opina pela </w:t>
      </w:r>
      <w:r>
        <w:rPr>
          <w:rFonts w:cs="Calibri" w:ascii="Arial" w:hAnsi="Arial"/>
          <w:b/>
          <w:i/>
        </w:rPr>
        <w:t xml:space="preserve">legalidade </w:t>
      </w:r>
      <w:r>
        <w:rPr>
          <w:rFonts w:cs="Calibri" w:ascii="Arial" w:hAnsi="Arial"/>
        </w:rPr>
        <w:t>e</w:t>
      </w:r>
      <w:r>
        <w:rPr>
          <w:rFonts w:cs="Calibri" w:ascii="Arial" w:hAnsi="Arial"/>
          <w:b/>
          <w:i/>
        </w:rPr>
        <w:t xml:space="preserve"> constitucionalidade</w:t>
      </w:r>
      <w:r>
        <w:rPr>
          <w:rFonts w:cs="Calibri" w:ascii="Arial" w:hAnsi="Arial"/>
          <w:i/>
        </w:rPr>
        <w:t xml:space="preserve"> </w:t>
      </w:r>
      <w:r>
        <w:rPr>
          <w:rFonts w:cs="Calibri" w:ascii="Arial" w:hAnsi="Arial"/>
        </w:rPr>
        <w:t>do referido Projeto de Lei, tendo em vista que não se observou qualquer vício em sua redação.</w:t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  <w:t>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>Este é o parecer.</w:t>
      </w:r>
    </w:p>
    <w:p>
      <w:pPr>
        <w:pStyle w:val="Normal"/>
        <w:ind w:firstLine="850"/>
        <w:jc w:val="both"/>
        <w:rPr>
          <w:rFonts w:ascii="Arial" w:hAnsi="Arial"/>
        </w:rPr>
      </w:pPr>
      <w:r>
        <w:rPr>
          <w:rFonts w:eastAsia="Calibri" w:cs="Arial" w:ascii="Arial" w:hAnsi="Arial"/>
        </w:rPr>
        <w:t xml:space="preserve">Igrejinha, </w:t>
      </w:r>
      <w:r>
        <w:rPr>
          <w:rFonts w:eastAsia="Calibri" w:cs="Arial" w:ascii="Arial" w:hAnsi="Arial"/>
        </w:rPr>
        <w:t>06</w:t>
      </w:r>
      <w:r>
        <w:rPr>
          <w:rFonts w:eastAsia="Calibri" w:cs="Arial" w:ascii="Arial" w:hAnsi="Arial"/>
        </w:rPr>
        <w:t xml:space="preserve"> de </w:t>
      </w:r>
      <w:r>
        <w:rPr>
          <w:rFonts w:eastAsia="Calibri" w:cs="Arial" w:ascii="Arial" w:hAnsi="Arial"/>
        </w:rPr>
        <w:t>agosto</w:t>
      </w:r>
      <w:r>
        <w:rPr>
          <w:rFonts w:eastAsia="Calibri" w:cs="Arial" w:ascii="Arial" w:hAnsi="Arial"/>
        </w:rPr>
        <w:t xml:space="preserve"> de 2026.</w:t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  <w:t xml:space="preserve">Anderson Fidelis de Araujo </w:t>
      </w:r>
    </w:p>
    <w:p>
      <w:pPr>
        <w:pStyle w:val="Normal"/>
        <w:ind w:firstLine="850"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Assessor Jurídico</w:t>
      </w:r>
    </w:p>
    <w:p>
      <w:pPr>
        <w:pStyle w:val="Normal"/>
        <w:ind w:firstLine="850"/>
        <w:jc w:val="both"/>
        <w:rPr>
          <w:rFonts w:ascii="Arial" w:hAnsi="Arial" w:cs="Arial"/>
        </w:rPr>
      </w:pPr>
      <w:r>
        <w:rPr>
          <w:rFonts w:cs="Arial" w:ascii="Arial" w:hAnsi="Arial"/>
        </w:rPr>
        <w:t>OAB/RS 58.063.</w:t>
      </w:r>
    </w:p>
    <w:p>
      <w:pPr>
        <w:pStyle w:val="Normal"/>
        <w:ind w:firstLine="85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/>
    </w:pPr>
    <w:hyperlink r:id="rId1">
      <w:r>
        <w:rPr>
          <w:rStyle w:val="LinkdaInternet"/>
          <w:rFonts w:eastAsia="Arial" w:cs="Arial" w:ascii="Arial" w:hAnsi="Arial"/>
          <w:b/>
          <w:color w:val="0000FF"/>
          <w:sz w:val="16"/>
          <w:szCs w:val="16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drawing>
        <wp:anchor behindDoc="0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 w:customStyle="1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 w:customStyle="1">
    <w:name w:val="LO-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LOnormal0" w:customStyle="1">
    <w:name w:val="LO-normal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eastAsia="NSimSun" w:cs="Arial" w:ascii="Times New Roman" w:hAnsi="Times New Roman"/>
      <w:color w:val="auto"/>
      <w:kern w:val="0"/>
      <w:sz w:val="24"/>
      <w:szCs w:val="24"/>
      <w:lang w:eastAsia="zh-CN" w:bidi="hi-IN" w:val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LibreOffice/7.4.0.3$Windows_X86_64 LibreOffice_project/f85e47c08ddd19c015c0114a68350214f7066f5a</Application>
  <AppVersion>15.0000</AppVersion>
  <Pages>2</Pages>
  <Words>349</Words>
  <Characters>1936</Characters>
  <CharactersWithSpaces>2268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2026-08-04T16:28:00Z</dcterms:created>
  <dc:creator>A.F.A Advogado</dc:creator>
  <dc:description/>
  <dc:language>pt-BR</dc:language>
  <cp:lastModifiedBy/>
  <cp:lastPrinted>2026-08-11T13:29:20Z</cp:lastPrinted>
  <dcterms:modified xsi:type="dcterms:W3CDTF">2026-08-11T13:29:22Z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