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360"/>
        <w:jc w:val="center"/>
        <w:rPr>
          <w:rFonts w:ascii="Calibri" w:hAnsi="Calibri" w:eastAsia="Calibri" w:cs="Calibri" w:asciiTheme="majorHAnsi" w:cstheme="majorHAnsi" w:hAnsiTheme="majorHAnsi"/>
          <w:b/>
          <w:b/>
          <w:color w:val="000000"/>
          <w:sz w:val="36"/>
          <w:szCs w:val="36"/>
          <w:u w:val="single"/>
        </w:rPr>
      </w:pPr>
      <w:r>
        <w:rPr>
          <w:rFonts w:eastAsia="Calibri" w:cs="Calibri" w:ascii="Calibri" w:hAnsi="Calibri" w:asciiTheme="majorHAnsi" w:cstheme="majorHAnsi" w:hAnsiTheme="majorHAnsi"/>
          <w:b/>
          <w:color w:val="000000"/>
          <w:sz w:val="36"/>
          <w:szCs w:val="36"/>
          <w:u w:val="single"/>
        </w:rPr>
        <w:t>PARECER JURÍDICO N° 0</w:t>
      </w:r>
      <w:r>
        <w:rPr>
          <w:rFonts w:eastAsia="Calibri" w:cs="Calibri" w:ascii="Calibri" w:hAnsi="Calibri" w:asciiTheme="majorHAnsi" w:cstheme="majorHAnsi" w:hAnsiTheme="majorHAnsi"/>
          <w:b/>
          <w:color w:val="000000"/>
          <w:sz w:val="36"/>
          <w:szCs w:val="36"/>
          <w:u w:val="single"/>
        </w:rPr>
        <w:t>89</w:t>
      </w:r>
      <w:r>
        <w:rPr>
          <w:rFonts w:eastAsia="Calibri" w:cs="Calibri" w:ascii="Calibri" w:hAnsi="Calibri" w:asciiTheme="majorHAnsi" w:cstheme="majorHAnsi" w:hAnsiTheme="majorHAnsi"/>
          <w:b/>
          <w:color w:val="000000"/>
          <w:sz w:val="36"/>
          <w:szCs w:val="36"/>
          <w:u w:val="single"/>
        </w:rPr>
        <w:t>/202</w:t>
      </w:r>
      <w:r>
        <w:rPr>
          <w:rFonts w:eastAsia="Calibri" w:cs="Calibri" w:ascii="Calibri" w:hAnsi="Calibri" w:asciiTheme="majorHAnsi" w:cstheme="majorHAnsi" w:hAnsiTheme="majorHAnsi"/>
          <w:b/>
          <w:color w:val="000000"/>
          <w:sz w:val="36"/>
          <w:szCs w:val="36"/>
          <w:u w:val="single"/>
        </w:rPr>
        <w:t>6</w:t>
      </w:r>
    </w:p>
    <w:p>
      <w:pPr>
        <w:pStyle w:val="Normal"/>
        <w:widowControl w:val="false"/>
        <w:spacing w:lineRule="auto" w:line="360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cstheme="majorHAnsi" w:ascii="Calibri" w:hAnsi="Calibri"/>
          <w:b/>
        </w:rPr>
      </w:r>
    </w:p>
    <w:p>
      <w:pPr>
        <w:pStyle w:val="Normal"/>
        <w:jc w:val="both"/>
        <w:rPr>
          <w:rFonts w:ascii="Calibri" w:hAnsi="Calibri"/>
          <w:i w:val="false"/>
          <w:i w:val="false"/>
          <w:iCs w:val="false"/>
        </w:rPr>
      </w:pPr>
      <w:r>
        <w:rPr>
          <w:rFonts w:eastAsia="Calibri" w:cs="Calibri" w:ascii="Calibri" w:hAnsi="Calibri" w:asciiTheme="majorHAnsi" w:cstheme="majorHAnsi" w:hAnsiTheme="majorHAnsi"/>
          <w:b/>
          <w:i w:val="false"/>
          <w:iCs w:val="false"/>
        </w:rPr>
        <w:t xml:space="preserve">Matéria: VETO </w:t>
      </w:r>
      <w:r>
        <w:rPr>
          <w:rFonts w:eastAsia="Calibri" w:cs="Calibri" w:ascii="Calibri" w:hAnsi="Calibri" w:asciiTheme="majorHAnsi" w:cstheme="majorHAnsi" w:hAnsiTheme="majorHAnsi"/>
          <w:b/>
          <w:i w:val="false"/>
          <w:iCs w:val="false"/>
        </w:rPr>
        <w:t>003</w:t>
      </w:r>
      <w:r>
        <w:rPr>
          <w:rFonts w:eastAsia="Calibri" w:cs="Calibri" w:ascii="Calibri" w:hAnsi="Calibri" w:asciiTheme="majorHAnsi" w:cstheme="majorHAnsi" w:hAnsiTheme="majorHAnsi"/>
          <w:b/>
          <w:i w:val="false"/>
          <w:iCs w:val="false"/>
        </w:rPr>
        <w:t xml:space="preserve"> </w:t>
      </w:r>
      <w:r>
        <w:rPr>
          <w:rFonts w:eastAsia="Calibri" w:cs="Calibri" w:ascii="Calibri" w:hAnsi="Calibri" w:asciiTheme="majorHAnsi" w:cstheme="majorHAnsi" w:hAnsiTheme="majorHAnsi"/>
          <w:b/>
          <w:i w:val="false"/>
          <w:iCs w:val="false"/>
        </w:rPr>
        <w:t>PARCIAL A</w:t>
      </w:r>
      <w:r>
        <w:rPr>
          <w:rFonts w:eastAsia="Calibri" w:cs="Calibri" w:ascii="Calibri" w:hAnsi="Calibri" w:asciiTheme="majorHAnsi" w:cstheme="majorHAnsi" w:hAnsiTheme="majorHAnsi"/>
          <w:b/>
          <w:i w:val="false"/>
          <w:iCs w:val="false"/>
        </w:rPr>
        <w:t>O Projeto de Lei do Legislativo nº 0</w:t>
      </w:r>
      <w:r>
        <w:rPr>
          <w:rFonts w:eastAsia="Calibri" w:cs="Calibri" w:ascii="Calibri" w:hAnsi="Calibri" w:asciiTheme="majorHAnsi" w:cstheme="majorHAnsi" w:hAnsiTheme="majorHAnsi"/>
          <w:b/>
          <w:i w:val="false"/>
          <w:iCs w:val="false"/>
        </w:rPr>
        <w:t>71</w:t>
      </w:r>
      <w:r>
        <w:rPr>
          <w:rFonts w:eastAsia="Calibri" w:cs="Calibri" w:ascii="Calibri" w:hAnsi="Calibri" w:asciiTheme="majorHAnsi" w:cstheme="majorHAnsi" w:hAnsiTheme="majorHAnsi"/>
          <w:b/>
          <w:i w:val="false"/>
          <w:iCs w:val="false"/>
        </w:rPr>
        <w:t xml:space="preserve">/2025 </w:t>
      </w:r>
    </w:p>
    <w:p>
      <w:pPr>
        <w:pStyle w:val="Normal"/>
        <w:jc w:val="both"/>
        <w:rPr>
          <w:rFonts w:ascii="Calibri" w:hAnsi="Calibri"/>
          <w:i w:val="false"/>
          <w:i w:val="false"/>
          <w:iCs w:val="false"/>
        </w:rPr>
      </w:pPr>
      <w:r>
        <w:rPr>
          <w:rFonts w:eastAsia="Calibri" w:cs="Calibri" w:ascii="Calibri" w:hAnsi="Calibri" w:asciiTheme="majorHAnsi" w:cstheme="majorHAnsi" w:hAnsiTheme="majorHAnsi"/>
          <w:b/>
          <w:i w:val="false"/>
          <w:iCs w:val="false"/>
        </w:rPr>
        <w:t xml:space="preserve">EMENTA: </w:t>
      </w:r>
      <w:r>
        <w:rPr>
          <w:rFonts w:eastAsia="Calibri" w:cs="Calibri" w:ascii="Calibri" w:hAnsi="Calibri" w:asciiTheme="majorHAnsi" w:cstheme="majorHAnsi" w:hAnsiTheme="majorHAnsi"/>
          <w:b w:val="false"/>
          <w:bCs w:val="false"/>
          <w:i w:val="false"/>
          <w:iCs w:val="false"/>
          <w:sz w:val="22"/>
          <w:szCs w:val="22"/>
        </w:rPr>
        <w:t>“Altera e inclui dispositivos na Lei Municipal nº 4.183, de 14 de julho de 2010, que “Dispõe sobre o desenvolvimento de política antibullying por instituições de ensino e de educação infantil, públicas ou privadas, com ou sem fins lucrativos".</w:t>
      </w:r>
    </w:p>
    <w:p>
      <w:pPr>
        <w:pStyle w:val="Normal"/>
        <w:jc w:val="both"/>
        <w:rPr>
          <w:rFonts w:ascii="Calibri" w:hAnsi="Calibri"/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Calibri" w:ascii="Calibri" w:hAnsi="Calibri" w:asciiTheme="majorHAnsi" w:cstheme="majorHAnsi" w:hAnsiTheme="majorHAnsi"/>
          <w:b w:val="false"/>
          <w:bCs w:val="false"/>
          <w:i w:val="false"/>
          <w:iCs w:val="false"/>
        </w:rPr>
        <w:t xml:space="preserve">AUTORIA: Executivo Municipal </w:t>
      </w:r>
    </w:p>
    <w:p>
      <w:pPr>
        <w:pStyle w:val="LOnormal0"/>
        <w:widowControl w:val="false"/>
        <w:jc w:val="both"/>
        <w:rPr>
          <w:rFonts w:ascii="Calibri" w:hAnsi="Calibri"/>
          <w:i w:val="false"/>
          <w:i w:val="false"/>
          <w:iCs w:val="false"/>
        </w:rPr>
      </w:pPr>
      <w:r>
        <w:rPr>
          <w:rFonts w:eastAsia="Calibri" w:cs="Calibri" w:ascii="Calibri" w:hAnsi="Calibri" w:asciiTheme="majorHAnsi" w:cstheme="majorHAnsi" w:hAnsiTheme="majorHAnsi"/>
          <w:bCs/>
          <w:i w:val="false"/>
          <w:iCs w:val="false"/>
        </w:rPr>
        <w:t xml:space="preserve">Protocolo </w:t>
      </w:r>
      <w:r>
        <w:rPr>
          <w:rFonts w:eastAsia="Calibri" w:cs="Calibri" w:ascii="Calibri" w:hAnsi="Calibri" w:asciiTheme="majorHAnsi" w:cstheme="majorHAnsi" w:hAnsiTheme="majorHAnsi"/>
          <w:bCs/>
          <w:i w:val="false"/>
          <w:iCs w:val="false"/>
        </w:rPr>
        <w:t>10/08</w:t>
      </w:r>
      <w:r>
        <w:rPr>
          <w:rFonts w:eastAsia="Calibri" w:cs="Calibri" w:ascii="Calibri" w:hAnsi="Calibri" w:asciiTheme="majorHAnsi" w:cstheme="majorHAnsi" w:hAnsiTheme="majorHAnsi"/>
          <w:bCs/>
          <w:i w:val="false"/>
          <w:iCs w:val="false"/>
        </w:rPr>
        <w:t>/202</w:t>
      </w:r>
      <w:r>
        <w:rPr>
          <w:rFonts w:eastAsia="Calibri" w:cs="Calibri" w:ascii="Calibri" w:hAnsi="Calibri" w:asciiTheme="majorHAnsi" w:cstheme="majorHAnsi" w:hAnsiTheme="majorHAnsi"/>
          <w:bCs/>
          <w:i w:val="false"/>
          <w:iCs w:val="false"/>
        </w:rPr>
        <w:t>6</w:t>
      </w:r>
    </w:p>
    <w:p>
      <w:pPr>
        <w:pStyle w:val="Normal"/>
        <w:jc w:val="both"/>
        <w:rPr>
          <w:rFonts w:ascii="Calibri" w:hAnsi="Calibri"/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Calibri" w:ascii="Calibri" w:hAnsi="Calibri" w:asciiTheme="majorHAnsi" w:cstheme="majorHAnsi" w:hAnsiTheme="majorHAnsi"/>
          <w:b w:val="false"/>
          <w:bCs w:val="false"/>
          <w:i w:val="false"/>
          <w:iCs w:val="false"/>
        </w:rPr>
        <w:t xml:space="preserve">Encaminhado à comissão na 27ª SO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lang w:val="de-DE"/>
        </w:rPr>
      </w:pPr>
      <w:r>
        <w:rPr>
          <w:rFonts w:eastAsia="Calibri" w:cs="Calibri" w:ascii="Calibri" w:hAnsi="Calibri" w:asciiTheme="majorHAnsi" w:cstheme="majorHAnsi" w:hAnsiTheme="majorHAnsi"/>
          <w:b/>
          <w:bCs/>
          <w:i w:val="false"/>
          <w:iCs w:val="false"/>
          <w:color w:val="000000"/>
          <w:sz w:val="24"/>
          <w:szCs w:val="24"/>
          <w:lang w:val="de-DE"/>
        </w:rPr>
        <w:t>Rito Especial</w:t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i/>
          <w:i/>
          <w:iCs/>
        </w:rPr>
      </w:pPr>
      <w:r>
        <w:rPr>
          <w:rFonts w:eastAsia="Calibri" w:cs="Arial" w:ascii="Calibri" w:hAnsi="Calibri"/>
          <w:b/>
          <w:bCs/>
          <w:color w:val="000000"/>
          <w:sz w:val="24"/>
          <w:szCs w:val="24"/>
          <w:lang w:val="de-DE"/>
        </w:rPr>
      </w:r>
    </w:p>
    <w:p>
      <w:pPr>
        <w:pStyle w:val="Normal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cstheme="majorHAnsi" w:ascii="Calibri" w:hAnsi="Calibri"/>
          <w:b/>
        </w:rPr>
      </w:r>
    </w:p>
    <w:p>
      <w:pPr>
        <w:pStyle w:val="Normal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cstheme="majorHAnsi" w:ascii="Calibri" w:hAnsi="Calibri"/>
          <w:b/>
        </w:rPr>
      </w:r>
    </w:p>
    <w:p>
      <w:pPr>
        <w:pStyle w:val="LOnormal"/>
        <w:widowControl w:val="false"/>
        <w:spacing w:lineRule="auto" w:line="360"/>
        <w:jc w:val="both"/>
        <w:rPr>
          <w:rFonts w:ascii="Calibri" w:hAnsi="Calibri"/>
        </w:rPr>
      </w:pPr>
      <w:r>
        <w:rPr>
          <w:rFonts w:eastAsia="Calibri" w:cs="Calibri" w:ascii="Calibri" w:hAnsi="Calibri" w:asciiTheme="majorHAnsi" w:cstheme="majorHAnsi" w:hAnsiTheme="majorHAnsi"/>
          <w:b/>
          <w:u w:val="single"/>
        </w:rPr>
        <w:t>I – RELATÓRIO</w:t>
      </w:r>
    </w:p>
    <w:p>
      <w:pPr>
        <w:pStyle w:val="LOnormal"/>
        <w:widowControl w:val="false"/>
        <w:spacing w:lineRule="auto" w:line="360"/>
        <w:jc w:val="both"/>
        <w:rPr>
          <w:rFonts w:ascii="Calibri" w:hAnsi="Calibri" w:eastAsia="Calibri" w:cs="Calibri" w:asciiTheme="majorHAnsi" w:cstheme="majorHAnsi" w:hAnsiTheme="majorHAnsi"/>
          <w:b/>
          <w:b/>
          <w:u w:val="single"/>
        </w:rPr>
      </w:pPr>
      <w:r>
        <w:rPr>
          <w:rFonts w:eastAsia="Calibri" w:cs="Calibri" w:cstheme="majorHAnsi" w:ascii="Calibri" w:hAnsi="Calibri"/>
          <w:b/>
          <w:u w:val="single"/>
        </w:rPr>
      </w:r>
    </w:p>
    <w:p>
      <w:pPr>
        <w:pStyle w:val="LOnormal"/>
        <w:widowControl w:val="false"/>
        <w:spacing w:lineRule="auto" w:line="360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 xml:space="preserve">A mesa Diretora da Câmara de Vereadores de Igrejinha encaminhou, nesta data, para essa Procuradoria Jurídica, pedido de análise e emissão de parecer jurídico de veto encaminhado pelo Executivo Municipal em face de projeto de lei de autoria do Legislativo. </w:t>
      </w:r>
    </w:p>
    <w:p>
      <w:pPr>
        <w:pStyle w:val="LOnormal"/>
        <w:widowControl w:val="false"/>
        <w:spacing w:lineRule="auto" w:line="360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>É o sucinto relatório.</w:t>
      </w:r>
    </w:p>
    <w:p>
      <w:pPr>
        <w:pStyle w:val="LOnormal"/>
        <w:widowControl w:val="false"/>
        <w:spacing w:lineRule="auto" w:line="360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>Passo à análise jurídica.</w:t>
      </w:r>
    </w:p>
    <w:p>
      <w:pPr>
        <w:pStyle w:val="LOnormal"/>
        <w:widowControl w:val="false"/>
        <w:spacing w:lineRule="auto" w:line="360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cstheme="majorHAnsi" w:ascii="Calibri" w:hAnsi="Calibri"/>
          <w:b/>
        </w:rPr>
      </w:r>
    </w:p>
    <w:p>
      <w:pPr>
        <w:pStyle w:val="LOnormal"/>
        <w:widowControl w:val="false"/>
        <w:spacing w:lineRule="auto" w:line="360"/>
        <w:jc w:val="both"/>
        <w:rPr>
          <w:rFonts w:ascii="Calibri" w:hAnsi="Calibri" w:eastAsia="Calibri" w:cs="Calibri" w:asciiTheme="majorHAnsi" w:cstheme="majorHAnsi" w:hAnsiTheme="majorHAnsi"/>
          <w:b/>
          <w:b/>
          <w:u w:val="single"/>
        </w:rPr>
      </w:pPr>
      <w:r>
        <w:rPr>
          <w:rFonts w:eastAsia="Calibri" w:cs="Calibri" w:ascii="Calibri" w:hAnsi="Calibri" w:asciiTheme="majorHAnsi" w:cstheme="majorHAnsi" w:hAnsiTheme="majorHAnsi"/>
          <w:b/>
          <w:u w:val="single"/>
        </w:rPr>
        <w:t>II – ANÁLISE JURÍDICA</w:t>
      </w:r>
    </w:p>
    <w:p>
      <w:pPr>
        <w:pStyle w:val="LOnormal"/>
        <w:widowControl w:val="false"/>
        <w:spacing w:lineRule="auto" w:line="360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ascii="Calibri" w:hAnsi="Calibri" w:asciiTheme="majorHAnsi" w:cstheme="majorHAnsi" w:hAnsiTheme="majorHAnsi"/>
          <w:b/>
        </w:rPr>
        <w:t xml:space="preserve"> </w:t>
      </w:r>
    </w:p>
    <w:p>
      <w:pPr>
        <w:pStyle w:val="Normal"/>
        <w:widowControl w:val="false"/>
        <w:spacing w:lineRule="auto" w:line="360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 xml:space="preserve">Quanto ao rito processual, o projeto tramita em rito especial. </w:t>
      </w:r>
    </w:p>
    <w:p>
      <w:pPr>
        <w:pStyle w:val="LOnormal"/>
        <w:widowControl w:val="false"/>
        <w:spacing w:lineRule="auto" w:line="360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cstheme="majorHAnsi" w:ascii="Calibri" w:hAnsi="Calibri"/>
        </w:rPr>
      </w:r>
    </w:p>
    <w:p>
      <w:pPr>
        <w:pStyle w:val="LOnormal"/>
        <w:widowControl w:val="false"/>
        <w:spacing w:lineRule="auto" w:line="360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ascii="Calibri" w:hAnsi="Calibri" w:asciiTheme="majorHAnsi" w:cstheme="majorHAnsi" w:hAnsiTheme="majorHAnsi"/>
          <w:b/>
        </w:rPr>
        <w:t>Da Competência e iniciativa</w:t>
      </w:r>
    </w:p>
    <w:p>
      <w:pPr>
        <w:pStyle w:val="LOnormal"/>
        <w:widowControl w:val="false"/>
        <w:spacing w:lineRule="auto" w:line="360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cstheme="majorHAnsi" w:ascii="Calibri" w:hAnsi="Calibri"/>
          <w:b/>
        </w:rPr>
      </w:r>
    </w:p>
    <w:p>
      <w:pPr>
        <w:pStyle w:val="LOnormal"/>
        <w:widowControl w:val="false"/>
        <w:spacing w:lineRule="auto" w:line="360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 xml:space="preserve">Em primeiro momento analisamos a competência quanto a esfera de poder (União, Estado, Município) para proposição do referido procedimento e, portanto, cumpre dizer que a proposta tem a utilização legítima da competência privativa disposta para o Prefeito Municipal, com forme artigo 66, § 1º da Constituição Federal e respectivo artigo 52 da Lei Orgânica Municipal.  </w:t>
      </w:r>
    </w:p>
    <w:p>
      <w:pPr>
        <w:pStyle w:val="LOnormal"/>
        <w:shd w:val="clear" w:color="auto" w:fill="FFFFFF"/>
        <w:ind w:left="2267" w:firstLine="360"/>
        <w:jc w:val="both"/>
        <w:rPr>
          <w:rFonts w:ascii="Calibri" w:hAnsi="Calibri" w:cs="Calibri" w:asciiTheme="majorHAnsi" w:cstheme="majorHAnsi" w:hAnsiTheme="majorHAnsi"/>
        </w:rPr>
      </w:pPr>
      <w:r>
        <w:rPr>
          <w:rFonts w:cs="Calibri" w:cstheme="majorHAnsi" w:ascii="Calibri" w:hAnsi="Calibri"/>
        </w:rPr>
      </w:r>
    </w:p>
    <w:p>
      <w:pPr>
        <w:pStyle w:val="LOnormal"/>
        <w:shd w:val="clear" w:color="auto" w:fill="FFFFFF"/>
        <w:ind w:left="851" w:firstLine="1417"/>
        <w:jc w:val="both"/>
        <w:rPr>
          <w:rFonts w:ascii="Calibri" w:hAnsi="Calibri" w:cs="Calibri" w:asciiTheme="majorHAnsi" w:cstheme="majorHAnsi" w:hAnsiTheme="majorHAnsi"/>
          <w:i/>
          <w:i/>
          <w:iCs/>
        </w:rPr>
      </w:pPr>
      <w:r>
        <w:rPr>
          <w:rFonts w:cs="Calibri" w:ascii="Calibri" w:hAnsi="Calibri" w:asciiTheme="majorHAnsi" w:cstheme="majorHAnsi" w:hAnsiTheme="majorHAnsi"/>
          <w:i/>
          <w:iCs/>
        </w:rPr>
        <w:t xml:space="preserve">Art. 52. Os projetos de lei aprovados pela Câmara de Vereadores são enviados ao Prefeito que, em aquiescendo, os sanciona. </w:t>
      </w:r>
    </w:p>
    <w:p>
      <w:pPr>
        <w:pStyle w:val="LOnormal"/>
        <w:shd w:val="clear" w:color="auto" w:fill="FFFFFF"/>
        <w:ind w:left="851" w:firstLine="1417"/>
        <w:jc w:val="both"/>
        <w:rPr>
          <w:rFonts w:ascii="Calibri" w:hAnsi="Calibri" w:cs="Calibri" w:asciiTheme="majorHAnsi" w:cstheme="majorHAnsi" w:hAnsiTheme="majorHAnsi"/>
        </w:rPr>
      </w:pPr>
      <w:r>
        <w:rPr>
          <w:rFonts w:cs="Calibri" w:ascii="Calibri" w:hAnsi="Calibri" w:asciiTheme="majorHAnsi" w:cstheme="majorHAnsi" w:hAnsiTheme="majorHAnsi"/>
          <w:i/>
          <w:iCs/>
        </w:rPr>
        <w:t>§ 1º Se o Prefeito julga o projeto, no todo ou em parte, inconstitucional ou contrário ao interesse público, veta-o, total ou parcialmente, dentro de 15 (quinze) dias úteis, contados daquele em que o recebeu, comunicando os motivos do veto, ao Presidente da Câmara, dentro de 48 (quarenta e oito) horas</w:t>
      </w:r>
      <w:r>
        <w:rPr>
          <w:rFonts w:cs="Calibri" w:ascii="Calibri" w:hAnsi="Calibri" w:asciiTheme="majorHAnsi" w:cstheme="majorHAnsi" w:hAnsiTheme="majorHAnsi"/>
        </w:rPr>
        <w:t>.</w:t>
      </w:r>
    </w:p>
    <w:p>
      <w:pPr>
        <w:pStyle w:val="LOnormal"/>
        <w:shd w:val="clear" w:color="auto" w:fill="FFFFFF"/>
        <w:ind w:left="2267" w:firstLine="360"/>
        <w:jc w:val="both"/>
        <w:rPr>
          <w:rFonts w:ascii="Calibri" w:hAnsi="Calibri" w:eastAsia="Calibri" w:cs="Calibri" w:asciiTheme="majorHAnsi" w:cstheme="majorHAnsi" w:hAnsiTheme="majorHAnsi"/>
          <w:i/>
          <w:i/>
          <w:sz w:val="20"/>
          <w:szCs w:val="20"/>
        </w:rPr>
      </w:pPr>
      <w:r>
        <w:rPr>
          <w:rFonts w:eastAsia="Calibri" w:cs="Calibri" w:cstheme="majorHAnsi" w:ascii="Calibri" w:hAnsi="Calibri"/>
          <w:i/>
          <w:sz w:val="20"/>
          <w:szCs w:val="20"/>
        </w:rPr>
      </w:r>
    </w:p>
    <w:p>
      <w:pPr>
        <w:pStyle w:val="LOnormal"/>
        <w:shd w:val="clear" w:color="auto" w:fill="FFFFFF"/>
        <w:ind w:left="2267" w:firstLine="360"/>
        <w:jc w:val="both"/>
        <w:rPr>
          <w:rFonts w:ascii="Calibri" w:hAnsi="Calibri" w:eastAsia="Calibri" w:cs="Calibri" w:asciiTheme="majorHAnsi" w:cstheme="majorHAnsi" w:hAnsiTheme="majorHAnsi"/>
          <w:i/>
          <w:i/>
          <w:sz w:val="20"/>
          <w:szCs w:val="20"/>
        </w:rPr>
      </w:pPr>
      <w:r>
        <w:rPr>
          <w:rFonts w:eastAsia="Calibri" w:cs="Calibri" w:cstheme="majorHAnsi" w:ascii="Calibri" w:hAnsi="Calibri"/>
          <w:i/>
          <w:sz w:val="20"/>
          <w:szCs w:val="20"/>
        </w:rPr>
      </w:r>
    </w:p>
    <w:p>
      <w:pPr>
        <w:pStyle w:val="LOnormal"/>
        <w:widowControl w:val="false"/>
        <w:spacing w:lineRule="auto" w:line="360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 xml:space="preserve">Também verificamos que o veto foi apresentado tempestivamente e atende os requisitos legais, estando as razões do veto ancoradas na inconstitucionalidade do projeto de lei atacado. </w:t>
      </w:r>
    </w:p>
    <w:p>
      <w:pPr>
        <w:pStyle w:val="LOnormal"/>
        <w:spacing w:lineRule="auto" w:line="360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 xml:space="preserve">Quanto à matéria, </w:t>
      </w:r>
      <w:r>
        <w:rPr>
          <w:rFonts w:eastAsia="Calibri" w:cs="Calibri" w:ascii="Calibri" w:hAnsi="Calibri" w:asciiTheme="majorHAnsi" w:cstheme="majorHAnsi" w:hAnsiTheme="majorHAnsi"/>
        </w:rPr>
        <w:t xml:space="preserve">a assessoria externa emitiu orientação técnica no sentido de que a matéria vetada não ultrapassou os limites da competência legislativa,  não sendo caso de vício de origem, entendimento que este procurador acompanha. </w:t>
      </w:r>
    </w:p>
    <w:p>
      <w:pPr>
        <w:pStyle w:val="LOnormal"/>
        <w:spacing w:lineRule="auto" w:line="360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 xml:space="preserve">Por outro lado, o ponto destacado pelo Executivo possui interpretação divergente, sendo argumento que merece respeito, passível de consideração, a critério do intérprete da norma. </w:t>
      </w:r>
    </w:p>
    <w:p>
      <w:pPr>
        <w:pStyle w:val="LOnormal"/>
        <w:ind w:left="851" w:firstLine="1417"/>
        <w:jc w:val="both"/>
        <w:rPr>
          <w:rFonts w:ascii="Calibri" w:hAnsi="Calibri" w:eastAsia="Calibri" w:cs="Calibri" w:asciiTheme="majorHAnsi" w:cstheme="majorHAnsi" w:hAnsiTheme="majorHAnsi"/>
          <w:i/>
          <w:i/>
          <w:iCs/>
        </w:rPr>
      </w:pPr>
      <w:r>
        <w:rPr>
          <w:rFonts w:eastAsia="Calibri" w:cs="Calibri" w:cstheme="majorHAnsi" w:ascii="Calibri" w:hAnsi="Calibri"/>
          <w:b/>
          <w:u w:val="single"/>
        </w:rPr>
      </w:r>
    </w:p>
    <w:p>
      <w:pPr>
        <w:pStyle w:val="LOnormal"/>
        <w:spacing w:lineRule="auto" w:line="360"/>
        <w:jc w:val="both"/>
        <w:rPr>
          <w:rFonts w:ascii="Calibri" w:hAnsi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  <w:b/>
          <w:u w:val="single"/>
        </w:rPr>
        <w:t>III – CONCLUSÃO</w:t>
      </w:r>
      <w:r>
        <w:rPr>
          <w:rFonts w:eastAsia="Calibri" w:cs="Calibri" w:ascii="Calibri" w:hAnsi="Calibri" w:asciiTheme="majorHAnsi" w:cstheme="majorHAnsi" w:hAnsiTheme="majorHAnsi"/>
          <w:b/>
        </w:rPr>
        <w:t xml:space="preserve"> </w:t>
      </w:r>
    </w:p>
    <w:p>
      <w:pPr>
        <w:pStyle w:val="LOnormal"/>
        <w:ind w:left="2260" w:firstLine="7"/>
        <w:jc w:val="both"/>
        <w:rPr>
          <w:rFonts w:ascii="Calibri" w:hAnsi="Calibri" w:eastAsia="Calibri" w:cs="Calibri" w:asciiTheme="majorHAnsi" w:cstheme="majorHAnsi" w:hAnsiTheme="majorHAnsi"/>
          <w:i/>
          <w:i/>
        </w:rPr>
      </w:pPr>
      <w:r>
        <w:rPr>
          <w:rFonts w:eastAsia="Calibri" w:cs="Calibri" w:cstheme="majorHAnsi" w:ascii="Calibri" w:hAnsi="Calibri"/>
          <w:i/>
        </w:rPr>
      </w:r>
    </w:p>
    <w:p>
      <w:pPr>
        <w:pStyle w:val="LOnormal"/>
        <w:spacing w:lineRule="auto" w:line="360"/>
        <w:ind w:firstLine="850"/>
        <w:jc w:val="both"/>
        <w:rPr>
          <w:rFonts w:ascii="Calibri" w:hAnsi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 xml:space="preserve">Assim sendo, esta Assessoria Jurídica opina pela </w:t>
      </w:r>
      <w:r>
        <w:rPr>
          <w:rFonts w:eastAsia="Calibri" w:cs="Calibri" w:ascii="Calibri" w:hAnsi="Calibri" w:asciiTheme="majorHAnsi" w:cstheme="majorHAnsi" w:hAnsiTheme="majorHAnsi"/>
          <w:b/>
          <w:i/>
        </w:rPr>
        <w:t xml:space="preserve">legalidade </w:t>
      </w:r>
      <w:r>
        <w:rPr>
          <w:rFonts w:eastAsia="Calibri" w:cs="Calibri" w:ascii="Calibri" w:hAnsi="Calibri" w:asciiTheme="majorHAnsi" w:cstheme="majorHAnsi" w:hAnsiTheme="majorHAnsi"/>
        </w:rPr>
        <w:t>e</w:t>
      </w:r>
      <w:r>
        <w:rPr>
          <w:rFonts w:eastAsia="Calibri" w:cs="Calibri" w:ascii="Calibri" w:hAnsi="Calibri" w:asciiTheme="majorHAnsi" w:cstheme="majorHAnsi" w:hAnsiTheme="majorHAnsi"/>
          <w:b/>
          <w:i/>
        </w:rPr>
        <w:t xml:space="preserve"> constitucionalidade</w:t>
      </w:r>
      <w:r>
        <w:rPr>
          <w:rFonts w:eastAsia="Calibri" w:cs="Calibri" w:ascii="Calibri" w:hAnsi="Calibri" w:asciiTheme="majorHAnsi" w:cstheme="majorHAnsi" w:hAnsiTheme="majorHAnsi"/>
          <w:i/>
        </w:rPr>
        <w:t xml:space="preserve"> </w:t>
      </w:r>
      <w:r>
        <w:rPr>
          <w:rFonts w:eastAsia="Calibri" w:cs="Calibri" w:ascii="Calibri" w:hAnsi="Calibri" w:asciiTheme="majorHAnsi" w:cstheme="majorHAnsi" w:hAnsiTheme="majorHAnsi"/>
        </w:rPr>
        <w:t xml:space="preserve">do veto, </w:t>
      </w:r>
      <w:r>
        <w:rPr>
          <w:rFonts w:eastAsia="Calibri" w:cs="Calibri" w:ascii="Calibri" w:hAnsi="Calibri" w:asciiTheme="majorHAnsi" w:cstheme="majorHAnsi" w:hAnsiTheme="majorHAnsi"/>
        </w:rPr>
        <w:t xml:space="preserve">no que se refere ao aspecto formal e legal, sendo viável a sua </w:t>
      </w:r>
      <w:r>
        <w:rPr>
          <w:rFonts w:eastAsia="Calibri" w:cs="Calibri" w:ascii="Calibri" w:hAnsi="Calibri" w:asciiTheme="majorHAnsi" w:cstheme="majorHAnsi" w:hAnsiTheme="majorHAnsi"/>
        </w:rPr>
        <w:t>aprovação.</w:t>
      </w:r>
    </w:p>
    <w:p>
      <w:pPr>
        <w:pStyle w:val="LOnormal"/>
        <w:spacing w:lineRule="auto" w:line="360"/>
        <w:ind w:firstLine="850"/>
        <w:jc w:val="both"/>
        <w:rPr>
          <w:rFonts w:ascii="Calibri" w:hAnsi="Calibri" w:cs="Calibri" w:asciiTheme="majorHAnsi" w:cstheme="majorHAnsi" w:hAnsiTheme="majorHAnsi"/>
        </w:rPr>
      </w:pPr>
      <w:r>
        <w:rPr/>
      </w:r>
    </w:p>
    <w:p>
      <w:pPr>
        <w:pStyle w:val="LOnormal"/>
        <w:spacing w:lineRule="auto" w:line="360"/>
        <w:ind w:firstLine="850"/>
        <w:jc w:val="both"/>
        <w:rPr>
          <w:rFonts w:ascii="Calibri" w:hAnsi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>Este é o parecer.</w:t>
      </w:r>
    </w:p>
    <w:p>
      <w:pPr>
        <w:pStyle w:val="Normal"/>
        <w:spacing w:lineRule="auto" w:line="360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 xml:space="preserve">Igrejinha, </w:t>
      </w:r>
      <w:r>
        <w:rPr>
          <w:rFonts w:eastAsia="Calibri" w:cs="Calibri" w:ascii="Calibri" w:hAnsi="Calibri" w:asciiTheme="majorHAnsi" w:cstheme="majorHAnsi" w:hAnsiTheme="majorHAnsi"/>
        </w:rPr>
        <w:t>20</w:t>
      </w:r>
      <w:r>
        <w:rPr>
          <w:rFonts w:eastAsia="Calibri" w:cs="Calibri" w:ascii="Calibri" w:hAnsi="Calibri" w:asciiTheme="majorHAnsi" w:cstheme="majorHAnsi" w:hAnsiTheme="majorHAnsi"/>
        </w:rPr>
        <w:t xml:space="preserve"> de </w:t>
      </w:r>
      <w:r>
        <w:rPr>
          <w:rFonts w:eastAsia="Calibri" w:cs="Calibri" w:ascii="Calibri" w:hAnsi="Calibri" w:asciiTheme="majorHAnsi" w:cstheme="majorHAnsi" w:hAnsiTheme="majorHAnsi"/>
        </w:rPr>
        <w:t xml:space="preserve">agosto </w:t>
      </w:r>
      <w:r>
        <w:rPr>
          <w:rFonts w:eastAsia="Calibri" w:cs="Calibri" w:ascii="Calibri" w:hAnsi="Calibri" w:asciiTheme="majorHAnsi" w:cstheme="majorHAnsi" w:hAnsiTheme="majorHAnsi"/>
        </w:rPr>
        <w:t>de 202</w:t>
      </w:r>
      <w:r>
        <w:rPr>
          <w:rFonts w:eastAsia="Calibri" w:cs="Calibri" w:ascii="Calibri" w:hAnsi="Calibri" w:asciiTheme="majorHAnsi" w:cstheme="majorHAnsi" w:hAnsiTheme="majorHAnsi"/>
        </w:rPr>
        <w:t>6</w:t>
      </w:r>
      <w:r>
        <w:rPr>
          <w:rFonts w:eastAsia="Calibri" w:cs="Calibri" w:ascii="Calibri" w:hAnsi="Calibri" w:asciiTheme="majorHAnsi" w:cstheme="majorHAnsi" w:hAnsiTheme="majorHAnsi"/>
        </w:rPr>
        <w:t>.</w:t>
      </w:r>
    </w:p>
    <w:p>
      <w:pPr>
        <w:pStyle w:val="Normal"/>
        <w:ind w:firstLine="850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cstheme="majorHAnsi" w:ascii="Calibri" w:hAnsi="Calibri"/>
          <w:b/>
        </w:rPr>
      </w:r>
    </w:p>
    <w:p>
      <w:pPr>
        <w:pStyle w:val="Normal"/>
        <w:ind w:firstLine="850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cstheme="majorHAnsi" w:ascii="Calibri" w:hAnsi="Calibri"/>
          <w:b/>
        </w:rPr>
      </w:r>
    </w:p>
    <w:p>
      <w:pPr>
        <w:pStyle w:val="Normal"/>
        <w:ind w:firstLine="850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cstheme="majorHAnsi" w:ascii="Calibri" w:hAnsi="Calibri"/>
          <w:b/>
        </w:rPr>
      </w:r>
    </w:p>
    <w:p>
      <w:pPr>
        <w:pStyle w:val="Normal"/>
        <w:ind w:firstLine="850"/>
        <w:jc w:val="both"/>
        <w:rPr>
          <w:rFonts w:ascii="Calibri" w:hAnsi="Calibri" w:eastAsia="Calibri" w:cs="Calibri" w:asciiTheme="majorHAnsi" w:cstheme="majorHAnsi" w:hAnsiTheme="majorHAnsi"/>
          <w:b/>
          <w:b/>
        </w:rPr>
      </w:pPr>
      <w:r>
        <w:rPr>
          <w:rFonts w:eastAsia="Calibri" w:cs="Calibri" w:ascii="Calibri" w:hAnsi="Calibri" w:asciiTheme="majorHAnsi" w:cstheme="majorHAnsi" w:hAnsiTheme="majorHAnsi"/>
          <w:b/>
        </w:rPr>
        <w:t xml:space="preserve">Anderson Fidelis de Araujo </w:t>
      </w:r>
    </w:p>
    <w:p>
      <w:pPr>
        <w:pStyle w:val="Normal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>Assessor Jurídico</w:t>
      </w:r>
    </w:p>
    <w:p>
      <w:pPr>
        <w:pStyle w:val="Normal"/>
        <w:ind w:firstLine="850"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ascii="Calibri" w:hAnsi="Calibri" w:asciiTheme="majorHAnsi" w:cstheme="majorHAnsi" w:hAnsiTheme="majorHAnsi"/>
        </w:rPr>
        <w:t>OAB/RS 58.063.</w:t>
      </w:r>
    </w:p>
    <w:p>
      <w:pPr>
        <w:pStyle w:val="Normal"/>
        <w:tabs>
          <w:tab w:val="clear" w:pos="720"/>
          <w:tab w:val="center" w:pos="4844" w:leader="none"/>
          <w:tab w:val="left" w:pos="6750" w:leader="none"/>
        </w:tabs>
        <w:jc w:val="center"/>
        <w:rPr>
          <w:rFonts w:ascii="Calibri" w:hAnsi="Calibri" w:eastAsia="Calibri" w:cs="Calibri" w:asciiTheme="majorHAnsi" w:cstheme="majorHAnsi" w:hAnsiTheme="majorHAnsi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426" w:top="2410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1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hyperlink r:id="rId1">
      <w:r>
        <w:rPr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/>
      <w:drawing>
        <wp:inline distT="0" distB="0" distL="0" distR="0">
          <wp:extent cx="573405" cy="54356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revisionView w:insDel="0" w:formatting="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 w:customStyle="1">
    <w:name w:val="Caracteres de nota de rodapé"/>
    <w:qFormat/>
    <w:rPr>
      <w:vertAlign w:val="superscript"/>
    </w:rPr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6b7c"/>
    <w:pPr>
      <w:spacing w:before="0" w:after="0"/>
      <w:ind w:left="720" w:hanging="0"/>
      <w:contextualSpacing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eastAsia="NSimSun" w:cs="Arial" w:ascii="Times New Roman" w:hAnsi="Times New Roman"/>
      <w:color w:val="auto"/>
      <w:kern w:val="0"/>
      <w:sz w:val="24"/>
      <w:szCs w:val="24"/>
      <w:lang w:eastAsia="zh-CN" w:bidi="hi-IN" w:val="pt-BR"/>
    </w:rPr>
  </w:style>
  <w:style w:type="paragraph" w:styleId="LOnormal0" w:customStyle="1">
    <w:name w:val="LO-normal0"/>
    <w:qFormat/>
    <w:pPr>
      <w:widowControl/>
      <w:suppressAutoHyphens w:val="true"/>
      <w:bidi w:val="0"/>
      <w:spacing w:before="0" w:after="0"/>
      <w:jc w:val="left"/>
    </w:pPr>
    <w:rPr>
      <w:rFonts w:eastAsia="NSimSun" w:cs="Arial" w:ascii="Times New Roman" w:hAnsi="Times New Roman"/>
      <w:color w:val="auto"/>
      <w:kern w:val="0"/>
      <w:sz w:val="24"/>
      <w:szCs w:val="24"/>
      <w:lang w:eastAsia="zh-CN" w:bidi="hi-IN" w:val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LibreOffice/7.4.0.3$Windows_X86_64 LibreOffice_project/f85e47c08ddd19c015c0114a68350214f7066f5a</Application>
  <AppVersion>15.0000</AppVersion>
  <Pages>2</Pages>
  <Words>422</Words>
  <Characters>2339</Characters>
  <CharactersWithSpaces>2749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2025-06-16T19:22:00Z</dcterms:created>
  <dc:creator>A.F.A Advogado</dc:creator>
  <dc:description/>
  <dc:language>pt-BR</dc:language>
  <cp:lastModifiedBy/>
  <cp:lastPrinted>2026-08-25T16:29:22Z</cp:lastPrinted>
  <dcterms:modified xsi:type="dcterms:W3CDTF">2026-08-25T16:32:17Z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