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PARECER JURÍDICO N° 0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90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color w:val="000000"/>
          <w:sz w:val="24"/>
          <w:szCs w:val="24"/>
        </w:rPr>
        <w:t>MATÉRIA: PL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 xml:space="preserve"> 04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9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>AUTORIA: Poder Executivo</w:t>
      </w:r>
    </w:p>
    <w:p>
      <w:pPr>
        <w:pStyle w:val="Normal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highlight w:val="white"/>
        </w:rPr>
        <w:t xml:space="preserve">EMENTA: </w:t>
      </w:r>
      <w:r>
        <w:rPr>
          <w:rFonts w:eastAsia="Calibri" w:cs="Calibri" w:ascii="Arial" w:hAnsi="Arial" w:cstheme="majorHAnsi"/>
          <w:b w:val="false"/>
          <w:bCs w:val="false"/>
          <w:i/>
          <w:iCs/>
          <w:color w:val="333333"/>
          <w:sz w:val="22"/>
          <w:szCs w:val="22"/>
          <w:highlight w:val="white"/>
          <w:lang w:val="pt-BR"/>
        </w:rPr>
        <w:t>“Autoriza o Poder Executivo a contratar, temporariamente, em caráter excepcional, 2 (dois) Auxiliares de Farmácia de Manipulação, por interesse público, e dá outras providências”;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Protocolado em 13/07/2026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Encaminhado à Comissão na 23ª SO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/>
          <w:bCs/>
          <w:color w:val="000000"/>
          <w:sz w:val="24"/>
          <w:szCs w:val="24"/>
          <w:lang w:val="de-DE"/>
        </w:rPr>
        <w:t>Rito de urgência</w:t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 – RELATÓRIO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A mesa Diretora da Câmara de Vereadores de Igrejinha encaminhou, nesta data, para essa Procuradoria Jurídica pedido de análise e emissão de parecer jurídico de proposição de autoria do Executivo Municipal.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É o sucinto relatório.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Passo à análise jurídica.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II – ANÁLISE JURÍDICA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ind w:firstLine="850"/>
        <w:jc w:val="both"/>
        <w:rPr/>
      </w:pPr>
      <w:r>
        <w:rPr>
          <w:rFonts w:eastAsia="Calibri" w:cs="Calibri" w:ascii="Arial" w:hAnsi="Arial" w:cstheme="majorHAnsi"/>
          <w:sz w:val="24"/>
          <w:szCs w:val="24"/>
        </w:rPr>
        <w:t>Quanto ao rito processual, o Executivo solicitou urgência na análise da matéria de forma justificada, motivo pelo qual o projeto tramita em regime de URGÊNCIA.</w:t>
      </w:r>
    </w:p>
    <w:p>
      <w:pPr>
        <w:pStyle w:val="Normal"/>
        <w:widowControl w:val="false"/>
        <w:spacing w:lineRule="auto" w:line="240"/>
        <w:ind w:firstLine="850"/>
        <w:jc w:val="both"/>
        <w:rPr/>
      </w:pPr>
      <w:r>
        <w:rPr>
          <w:rFonts w:eastAsia="Calibri" w:cs="Calibri" w:ascii="Arial" w:hAnsi="Arial" w:cstheme="majorHAnsi"/>
          <w:sz w:val="24"/>
          <w:szCs w:val="24"/>
        </w:rPr>
        <w:t xml:space="preserve">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Da Competência e iniciativa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bookmarkStart w:id="0" w:name="_Hlk196227748"/>
      <w:bookmarkEnd w:id="0"/>
      <w:r>
        <w:rPr>
          <w:rFonts w:eastAsia="Calibri" w:cs="Calibri" w:ascii="Arial" w:hAnsi="Arial"/>
          <w:sz w:val="24"/>
          <w:szCs w:val="24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spacing w:lineRule="auto" w:line="240"/>
        <w:ind w:firstLine="85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firstLine="85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i/>
          <w:sz w:val="24"/>
          <w:szCs w:val="24"/>
        </w:rPr>
        <w:t>“</w:t>
      </w:r>
      <w:r>
        <w:rPr>
          <w:rFonts w:eastAsia="Calibri" w:cs="Calibri" w:ascii="Arial" w:hAnsi="Arial"/>
          <w:i/>
          <w:sz w:val="24"/>
          <w:szCs w:val="24"/>
        </w:rPr>
        <w:t>Art. 30. Compete aos Municípios:</w:t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i/>
          <w:sz w:val="24"/>
          <w:szCs w:val="24"/>
        </w:rPr>
        <w:t>I - legislar sobre assuntos de interesse local; [...]</w:t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ascii="Arial" w:hAnsi="Arial" w:eastAsia="Calibri" w:cs="Calibri"/>
          <w:i/>
          <w:i/>
          <w:sz w:val="24"/>
          <w:szCs w:val="24"/>
        </w:rPr>
      </w:pPr>
      <w:r>
        <w:rPr>
          <w:rFonts w:eastAsia="Calibri" w:cs="Calibri" w:ascii="Arial" w:hAnsi="Arial"/>
          <w:i/>
          <w:sz w:val="24"/>
          <w:szCs w:val="24"/>
        </w:rPr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eastAsia="Calibri" w:cs="Calibri" w:cstheme="majorHAnsi"/>
        </w:rPr>
      </w:pPr>
      <w:r>
        <w:rPr>
          <w:rFonts w:eastAsia="Calibri" w:cs="Calibri" w:cstheme="majorHAnsi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Ademais, a Lei Orgânica do Município de Igrejinha tratou no inciso I e VI, do Art. 46, da competência privativa do Prefeito Municipal no tocante a criação de cargos e aos servidores públicos municipais.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>“</w:t>
      </w:r>
      <w:r>
        <w:rPr>
          <w:rFonts w:eastAsia="Calibri" w:cs="Arial" w:ascii="Arial" w:hAnsi="Arial"/>
          <w:i/>
          <w:sz w:val="24"/>
          <w:szCs w:val="24"/>
        </w:rPr>
        <w:t>Art. 46. São de iniciativa privativa do Prefeito, os projetos de lei que disponham sobre: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 xml:space="preserve">I - criação, alteração e extinção de cargo, função pública ou emprego do Poder Executivo e autarquias do Município; 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>II - criação de novas vantagens de qualquer espécie, aos servidores públicos do Poder Executivo, e, aumento de vencimentos;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 xml:space="preserve">III - organização administrativa dos serviços do Município; 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 xml:space="preserve">IV - matéria tributária; 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 xml:space="preserve">V - Plano Plurianual, diretrizes orçamentárias e orçamento anual; 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  <w:t>VI - Servidor Público Municipal e seu regime jurídico.”</w:t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 w:eastAsia="Calibri" w:cs="Arial"/>
          <w:i/>
          <w:i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left="2267" w:hanging="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Também verificamos que o Executivo Municipal fez uso da prerrogativa a ele reconhecida pela Lei Orgânica de Igrejinha para iniciar o processo legislativo, de modo que, nada há quanto a este requisito que possa macular a constitucionalidade do respectivo projeto de lei.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  <w:t xml:space="preserve">Quanto a matéria, o projeto visa autorizar a contratação temporária de profissionais na área da saúde visando atender </w:t>
      </w:r>
      <w:r>
        <w:rPr>
          <w:rFonts w:eastAsia="Calibri" w:cs="Calibri" w:ascii="Arial" w:hAnsi="Arial"/>
          <w:sz w:val="24"/>
          <w:szCs w:val="24"/>
          <w:shd w:fill="auto" w:val="clear"/>
        </w:rPr>
        <w:t>as necessidades da população junto à farmácia de manipulação municipal.</w:t>
      </w:r>
      <w:r>
        <w:rPr>
          <w:rFonts w:eastAsia="Calibri" w:cs="Calibri" w:ascii="Arial" w:hAnsi="Arial"/>
          <w:sz w:val="24"/>
          <w:szCs w:val="24"/>
          <w:shd w:fill="auto" w:val="clear"/>
        </w:rPr>
        <w:t xml:space="preserve"> A contratação em caráter temporário se justifica tendo em vista a </w:t>
      </w:r>
      <w:r>
        <w:rPr>
          <w:rFonts w:eastAsia="Calibri" w:cs="Calibri" w:ascii="Arial" w:hAnsi="Arial"/>
          <w:sz w:val="24"/>
          <w:szCs w:val="24"/>
          <w:shd w:fill="auto" w:val="clear"/>
        </w:rPr>
        <w:t>necessidade urgente e a ausência de aprovados no último concurso aptos à convocação.</w:t>
      </w:r>
      <w:r>
        <w:rPr>
          <w:rFonts w:eastAsia="Calibri" w:cs="Calibri" w:ascii="Arial" w:hAnsi="Arial"/>
          <w:sz w:val="24"/>
          <w:szCs w:val="24"/>
          <w:shd w:fill="auto" w:val="clear"/>
        </w:rPr>
        <w:t xml:space="preserve">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Calibri"/>
          <w:sz w:val="24"/>
          <w:szCs w:val="24"/>
          <w:shd w:fill="auto" w:val="clear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  <w:t xml:space="preserve">A matéria não impacta o orçamento, tendo em vista que </w:t>
      </w:r>
      <w:r>
        <w:rPr>
          <w:rFonts w:eastAsia="Calibri" w:cs="Calibri" w:ascii="Arial" w:hAnsi="Arial"/>
          <w:sz w:val="24"/>
          <w:szCs w:val="24"/>
          <w:shd w:fill="auto" w:val="clear"/>
        </w:rPr>
        <w:t xml:space="preserve">das contratações visam substituir cargos vagos no quadro de cargos permanentes.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Assim, a matéria não apresenta ilegalidade e o projeto atende os requisitos formais sendo viável a sua apreciação.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LOnormal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  <w:u w:val="single"/>
        </w:rPr>
        <w:t>III – CONCLUSÃO</w:t>
      </w:r>
      <w:r>
        <w:rPr>
          <w:rFonts w:eastAsia="Calibri" w:cs="Arial" w:ascii="Arial" w:hAnsi="Arial"/>
          <w:b/>
          <w:sz w:val="24"/>
          <w:szCs w:val="24"/>
        </w:rPr>
        <w:t xml:space="preserve"> </w:t>
      </w:r>
    </w:p>
    <w:p>
      <w:pPr>
        <w:pStyle w:val="LOnormal"/>
        <w:spacing w:lineRule="auto" w:line="240"/>
        <w:ind w:left="2260" w:firstLine="7"/>
        <w:jc w:val="both"/>
        <w:rPr>
          <w:rFonts w:ascii="Arial" w:hAnsi="Arial" w:eastAsia="Calibri" w:cs="Arial"/>
          <w:i/>
          <w:i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Assim sendo, esta Assessoria Jurídica opina pela </w:t>
      </w:r>
      <w:r>
        <w:rPr>
          <w:rFonts w:eastAsia="Calibri" w:cs="Arial" w:ascii="Arial" w:hAnsi="Arial"/>
          <w:b/>
          <w:i/>
          <w:sz w:val="24"/>
          <w:szCs w:val="24"/>
        </w:rPr>
        <w:t xml:space="preserve">legalidade </w:t>
      </w:r>
      <w:r>
        <w:rPr>
          <w:rFonts w:eastAsia="Calibri" w:cs="Arial" w:ascii="Arial" w:hAnsi="Arial"/>
          <w:sz w:val="24"/>
          <w:szCs w:val="24"/>
        </w:rPr>
        <w:t>e</w:t>
      </w:r>
      <w:r>
        <w:rPr>
          <w:rFonts w:eastAsia="Calibri" w:cs="Arial" w:ascii="Arial" w:hAnsi="Arial"/>
          <w:b/>
          <w:i/>
          <w:sz w:val="24"/>
          <w:szCs w:val="24"/>
        </w:rPr>
        <w:t xml:space="preserve"> constitucionalidade</w:t>
      </w:r>
      <w:r>
        <w:rPr>
          <w:rFonts w:eastAsia="Calibri" w:cs="Arial" w:ascii="Arial" w:hAnsi="Arial"/>
          <w:i/>
          <w:sz w:val="24"/>
          <w:szCs w:val="24"/>
        </w:rPr>
        <w:t xml:space="preserve"> </w:t>
      </w:r>
      <w:r>
        <w:rPr>
          <w:rFonts w:eastAsia="Calibri" w:cs="Arial" w:ascii="Arial" w:hAnsi="Arial"/>
          <w:sz w:val="24"/>
          <w:szCs w:val="24"/>
        </w:rPr>
        <w:t>do referido projeto de Lei, tendo em vista que em análise não se observou qualquer vício em sua redação.</w:t>
      </w:r>
    </w:p>
    <w:p>
      <w:pPr>
        <w:pStyle w:val="LO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Portanto, 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Este é o parecer.</w:t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Igrejinha, </w:t>
      </w:r>
      <w:r>
        <w:rPr>
          <w:rFonts w:eastAsia="Calibri" w:cs="Arial" w:ascii="Arial" w:hAnsi="Arial"/>
          <w:sz w:val="24"/>
          <w:szCs w:val="24"/>
        </w:rPr>
        <w:t>20</w:t>
      </w:r>
      <w:r>
        <w:rPr>
          <w:rFonts w:eastAsia="Calibri" w:cs="Arial" w:ascii="Arial" w:hAnsi="Arial"/>
          <w:sz w:val="24"/>
          <w:szCs w:val="24"/>
        </w:rPr>
        <w:t xml:space="preserve"> de </w:t>
      </w:r>
      <w:r>
        <w:rPr>
          <w:rFonts w:eastAsia="Calibri" w:cs="Arial" w:ascii="Arial" w:hAnsi="Arial"/>
          <w:sz w:val="24"/>
          <w:szCs w:val="24"/>
        </w:rPr>
        <w:t>agosto</w:t>
      </w:r>
      <w:r>
        <w:rPr>
          <w:rFonts w:eastAsia="Calibri" w:cs="Arial" w:ascii="Arial" w:hAnsi="Arial"/>
          <w:sz w:val="24"/>
          <w:szCs w:val="24"/>
        </w:rPr>
        <w:t xml:space="preserve"> de 2026.</w:t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Anderson Fidelis de Araujo </w:t>
      </w:r>
    </w:p>
    <w:p>
      <w:pPr>
        <w:pStyle w:val="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Assessor Jurídico</w:t>
      </w:r>
    </w:p>
    <w:p>
      <w:pPr>
        <w:pStyle w:val="Normal"/>
        <w:spacing w:lineRule="auto" w:line="240"/>
        <w:ind w:firstLine="850"/>
        <w:jc w:val="both"/>
        <w:rPr>
          <w:rFonts w:eastAsia="Calibri" w:cs="Calibri" w:cstheme="majorHAnsi"/>
        </w:rPr>
      </w:pPr>
      <w:bookmarkStart w:id="1" w:name="_Hlk1962277481"/>
      <w:bookmarkEnd w:id="1"/>
      <w:r>
        <w:rPr>
          <w:rFonts w:eastAsia="Calibri" w:cs="Arial" w:ascii="Arial" w:hAnsi="Arial"/>
          <w:sz w:val="24"/>
          <w:szCs w:val="24"/>
        </w:rPr>
        <w:t>OAB/RS 58.063.</w:t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hyperlink r:id="rId1">
      <w:r>
        <w:rPr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color w:val="000000"/>
        <w:sz w:val="20"/>
        <w:szCs w:val="20"/>
      </w:rPr>
    </w:pPr>
    <w:r>
      <w:drawing>
        <wp:anchor behindDoc="0" distT="114300" distB="114300" distL="114300" distR="114300" simplePos="0" locked="0" layoutInCell="0" allowOverlap="1" relativeHeight="3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>
    <w:name w:val="Caracteres de nota de rodapé"/>
    <w:qFormat/>
    <w:rPr/>
  </w:style>
  <w:style w:type="character" w:styleId="Ncoradanotaderodap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96b7c"/>
    <w:pPr>
      <w:spacing w:before="0" w:after="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Application>LibreOffice/7.4.0.3$Windows_X86_64 LibreOffice_project/f85e47c08ddd19c015c0114a68350214f7066f5a</Application>
  <AppVersion>15.0000</AppVersion>
  <Pages>2</Pages>
  <Words>546</Words>
  <Characters>3035</Characters>
  <CharactersWithSpaces>3558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2025-01-09T13:04:00Z</dcterms:created>
  <dc:creator>A.F.A Advogado</dc:creator>
  <dc:description/>
  <dc:language>pt-BR</dc:language>
  <cp:lastModifiedBy/>
  <cp:lastPrinted>2026-08-25T16:37:03Z</cp:lastPrinted>
  <dcterms:modified xsi:type="dcterms:W3CDTF">2026-08-25T16:39:27Z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