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0E23F" w14:textId="77777777" w:rsidR="001D6D60" w:rsidRDefault="001D6D60" w:rsidP="001D6D60">
      <w:pPr>
        <w:pStyle w:val="NormalWeb"/>
        <w:spacing w:line="360" w:lineRule="auto"/>
        <w:jc w:val="center"/>
        <w:rPr>
          <w:rStyle w:val="Forte"/>
          <w:rFonts w:ascii="Arial" w:hAnsi="Arial" w:cs="Arial"/>
        </w:rPr>
      </w:pPr>
    </w:p>
    <w:p w14:paraId="0BC86FF4" w14:textId="483D4A1C" w:rsidR="008D5AA8" w:rsidRDefault="008D5AA8" w:rsidP="001D6D60">
      <w:pPr>
        <w:pStyle w:val="NormalWeb"/>
        <w:spacing w:line="360" w:lineRule="auto"/>
        <w:jc w:val="center"/>
        <w:rPr>
          <w:rStyle w:val="Forte"/>
          <w:rFonts w:ascii="Arial" w:hAnsi="Arial" w:cs="Arial"/>
        </w:rPr>
      </w:pPr>
      <w:r w:rsidRPr="008D5AA8">
        <w:rPr>
          <w:rStyle w:val="Forte"/>
          <w:rFonts w:ascii="Arial" w:hAnsi="Arial" w:cs="Arial"/>
        </w:rPr>
        <w:t>ESTADO DO MARANHÃO</w:t>
      </w:r>
    </w:p>
    <w:p w14:paraId="27CF0132" w14:textId="040ED63B" w:rsidR="008D5AA8" w:rsidRDefault="008D5AA8" w:rsidP="001D6D60">
      <w:pPr>
        <w:pStyle w:val="NormalWeb"/>
        <w:spacing w:line="360" w:lineRule="auto"/>
        <w:jc w:val="center"/>
        <w:rPr>
          <w:rStyle w:val="Forte"/>
          <w:rFonts w:ascii="Arial" w:hAnsi="Arial" w:cs="Arial"/>
        </w:rPr>
      </w:pPr>
      <w:r w:rsidRPr="008D5AA8">
        <w:rPr>
          <w:rStyle w:val="Forte"/>
          <w:rFonts w:ascii="Arial" w:hAnsi="Arial" w:cs="Arial"/>
        </w:rPr>
        <w:t>CÂMARA MUNICIPAL DE SANTA INÊS</w:t>
      </w:r>
    </w:p>
    <w:p w14:paraId="348AADB9" w14:textId="0CD6CEFA" w:rsidR="008D5AA8" w:rsidRPr="008D5AA8" w:rsidRDefault="008D5AA8" w:rsidP="001D6D60">
      <w:pPr>
        <w:pStyle w:val="NormalWeb"/>
        <w:spacing w:line="360" w:lineRule="auto"/>
        <w:jc w:val="center"/>
        <w:rPr>
          <w:rFonts w:ascii="Arial" w:hAnsi="Arial" w:cs="Arial"/>
        </w:rPr>
      </w:pPr>
      <w:r w:rsidRPr="008D5AA8">
        <w:rPr>
          <w:rStyle w:val="Forte"/>
          <w:rFonts w:ascii="Arial" w:hAnsi="Arial" w:cs="Arial"/>
        </w:rPr>
        <w:t>COMISSÃO DE ORÇAMENTO, FINANÇAS, FISCALIZAÇÃO E CONTROLE</w:t>
      </w:r>
    </w:p>
    <w:p w14:paraId="473753B2" w14:textId="4D45A66F" w:rsidR="008D5AA8" w:rsidRPr="008D5AA8" w:rsidRDefault="008D5AA8" w:rsidP="001D6D60">
      <w:pPr>
        <w:pStyle w:val="NormalWeb"/>
        <w:spacing w:line="360" w:lineRule="auto"/>
        <w:jc w:val="center"/>
        <w:rPr>
          <w:rFonts w:ascii="Arial" w:hAnsi="Arial" w:cs="Arial"/>
        </w:rPr>
      </w:pPr>
      <w:r w:rsidRPr="008D5AA8">
        <w:rPr>
          <w:rStyle w:val="Forte"/>
          <w:rFonts w:ascii="Arial" w:hAnsi="Arial" w:cs="Arial"/>
        </w:rPr>
        <w:t>PARECER</w:t>
      </w:r>
    </w:p>
    <w:p w14:paraId="3BBCD186" w14:textId="77777777" w:rsid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Style w:val="Forte"/>
          <w:rFonts w:ascii="Arial" w:hAnsi="Arial" w:cs="Arial"/>
        </w:rPr>
        <w:t>Processo Legislativo:</w:t>
      </w:r>
      <w:r w:rsidRPr="008D5AA8">
        <w:rPr>
          <w:rFonts w:ascii="Arial" w:hAnsi="Arial" w:cs="Arial"/>
        </w:rPr>
        <w:t xml:space="preserve"> Julgamento das Contas Anuais de Governo do Poder</w:t>
      </w:r>
      <w:r>
        <w:rPr>
          <w:rFonts w:ascii="Arial" w:hAnsi="Arial" w:cs="Arial"/>
        </w:rPr>
        <w:t xml:space="preserve"> </w:t>
      </w:r>
      <w:r w:rsidRPr="008D5AA8">
        <w:rPr>
          <w:rFonts w:ascii="Arial" w:hAnsi="Arial" w:cs="Arial"/>
        </w:rPr>
        <w:t>Executivo Municipal</w:t>
      </w:r>
      <w:r>
        <w:rPr>
          <w:rFonts w:ascii="Arial" w:hAnsi="Arial" w:cs="Arial"/>
        </w:rPr>
        <w:t xml:space="preserve"> </w:t>
      </w:r>
    </w:p>
    <w:p w14:paraId="055ABA16" w14:textId="77777777" w:rsid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Style w:val="Forte"/>
          <w:rFonts w:ascii="Arial" w:hAnsi="Arial" w:cs="Arial"/>
        </w:rPr>
        <w:t>Interessada:</w:t>
      </w:r>
      <w:r w:rsidRPr="008D5AA8">
        <w:rPr>
          <w:rFonts w:ascii="Arial" w:hAnsi="Arial" w:cs="Arial"/>
        </w:rPr>
        <w:t xml:space="preserve"> Maria </w:t>
      </w:r>
      <w:proofErr w:type="spellStart"/>
      <w:r w:rsidRPr="008D5AA8">
        <w:rPr>
          <w:rFonts w:ascii="Arial" w:hAnsi="Arial" w:cs="Arial"/>
        </w:rPr>
        <w:t>Vianey</w:t>
      </w:r>
      <w:proofErr w:type="spellEnd"/>
      <w:r w:rsidRPr="008D5AA8">
        <w:rPr>
          <w:rFonts w:ascii="Arial" w:hAnsi="Arial" w:cs="Arial"/>
        </w:rPr>
        <w:t xml:space="preserve"> Pinheiro Bringel</w:t>
      </w:r>
      <w:r>
        <w:rPr>
          <w:rFonts w:ascii="Arial" w:hAnsi="Arial" w:cs="Arial"/>
        </w:rPr>
        <w:t xml:space="preserve"> </w:t>
      </w:r>
    </w:p>
    <w:p w14:paraId="4A91A4C5" w14:textId="77777777" w:rsid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Style w:val="Forte"/>
          <w:rFonts w:ascii="Arial" w:hAnsi="Arial" w:cs="Arial"/>
        </w:rPr>
        <w:t>Exercício Financeiro:</w:t>
      </w:r>
      <w:r w:rsidRPr="008D5AA8">
        <w:rPr>
          <w:rFonts w:ascii="Arial" w:hAnsi="Arial" w:cs="Arial"/>
        </w:rPr>
        <w:t xml:space="preserve"> 2017</w:t>
      </w:r>
      <w:r>
        <w:rPr>
          <w:rFonts w:ascii="Arial" w:hAnsi="Arial" w:cs="Arial"/>
        </w:rPr>
        <w:t xml:space="preserve"> </w:t>
      </w:r>
    </w:p>
    <w:p w14:paraId="14E4C353" w14:textId="77777777" w:rsid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Style w:val="Forte"/>
          <w:rFonts w:ascii="Arial" w:hAnsi="Arial" w:cs="Arial"/>
        </w:rPr>
        <w:t>Origem:</w:t>
      </w:r>
      <w:r w:rsidRPr="008D5AA8">
        <w:rPr>
          <w:rFonts w:ascii="Arial" w:hAnsi="Arial" w:cs="Arial"/>
        </w:rPr>
        <w:t xml:space="preserve"> Processo nº 3444/2018 – Tribunal de Contas do Estado do Maranhão</w:t>
      </w:r>
    </w:p>
    <w:p w14:paraId="3092A410" w14:textId="6D1334FD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Style w:val="Forte"/>
          <w:rFonts w:ascii="Arial" w:hAnsi="Arial" w:cs="Arial"/>
        </w:rPr>
        <w:t>Assunto:</w:t>
      </w:r>
      <w:r w:rsidRPr="008D5AA8">
        <w:rPr>
          <w:rFonts w:ascii="Arial" w:hAnsi="Arial" w:cs="Arial"/>
        </w:rPr>
        <w:t xml:space="preserve"> Prestação de Contas Anual de Governo do Município de Santa Inês/MA</w:t>
      </w:r>
    </w:p>
    <w:p w14:paraId="04ACCFD6" w14:textId="77777777" w:rsidR="008D5AA8" w:rsidRPr="008D5AA8" w:rsidRDefault="008D5AA8" w:rsidP="008D5AA8">
      <w:pPr>
        <w:pStyle w:val="Ttulo3"/>
        <w:spacing w:line="360" w:lineRule="auto"/>
        <w:jc w:val="both"/>
        <w:rPr>
          <w:rFonts w:ascii="Arial" w:hAnsi="Arial" w:cs="Arial"/>
          <w:b/>
          <w:bCs/>
          <w:color w:val="auto"/>
        </w:rPr>
      </w:pPr>
      <w:r w:rsidRPr="008D5AA8">
        <w:rPr>
          <w:rFonts w:ascii="Arial" w:hAnsi="Arial" w:cs="Arial"/>
          <w:b/>
          <w:bCs/>
          <w:color w:val="auto"/>
        </w:rPr>
        <w:t>EMENTA</w:t>
      </w:r>
    </w:p>
    <w:p w14:paraId="74ADE5EF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  <w:b/>
          <w:bCs/>
        </w:rPr>
      </w:pPr>
      <w:r w:rsidRPr="008D5AA8">
        <w:rPr>
          <w:rStyle w:val="Forte"/>
          <w:rFonts w:ascii="Arial" w:hAnsi="Arial" w:cs="Arial"/>
          <w:b w:val="0"/>
          <w:bCs w:val="0"/>
        </w:rPr>
        <w:t>Prestação de Contas Anual de Governo do Município de Santa Inês/MA, referente ao exercício financeiro de 2017. Parecer Prévio do Tribunal de Contas do Estado do Maranhão pela aprovação das contas. Competência constitucional da Câmara Municipal para julgamento político-administrativo das contas do Chefe do Poder Executivo, com auxílio do Tribunal de Contas. Ausência de irregularidades remanescentes, segundo a manifestação final da Corte de Contas. Parecer da Comissão pela aprovação das contas.</w:t>
      </w:r>
    </w:p>
    <w:p w14:paraId="4E5AED92" w14:textId="77777777" w:rsidR="008D5AA8" w:rsidRPr="008D5AA8" w:rsidRDefault="008D5AA8" w:rsidP="008D5AA8">
      <w:pPr>
        <w:pStyle w:val="Ttulo3"/>
        <w:spacing w:line="360" w:lineRule="auto"/>
        <w:jc w:val="both"/>
        <w:rPr>
          <w:rFonts w:ascii="Arial" w:hAnsi="Arial" w:cs="Arial"/>
          <w:b/>
          <w:bCs/>
          <w:color w:val="auto"/>
        </w:rPr>
      </w:pPr>
      <w:r w:rsidRPr="008D5AA8">
        <w:rPr>
          <w:rFonts w:ascii="Arial" w:hAnsi="Arial" w:cs="Arial"/>
          <w:b/>
          <w:bCs/>
          <w:color w:val="auto"/>
        </w:rPr>
        <w:lastRenderedPageBreak/>
        <w:t>I – RELATÓRIO</w:t>
      </w:r>
    </w:p>
    <w:p w14:paraId="1158DBAC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t xml:space="preserve">Vêm a esta Comissão de Orçamento, Finanças, Fiscalização e Controle, para exame e emissão de parecer, as </w:t>
      </w:r>
      <w:r w:rsidRPr="008D5AA8">
        <w:rPr>
          <w:rStyle w:val="Forte"/>
          <w:rFonts w:ascii="Arial" w:hAnsi="Arial" w:cs="Arial"/>
          <w:b w:val="0"/>
          <w:bCs w:val="0"/>
        </w:rPr>
        <w:t>Contas Anuais de Governo do Poder Executivo do Município de Santa Inês/MA</w:t>
      </w:r>
      <w:r w:rsidRPr="008D5AA8">
        <w:rPr>
          <w:rFonts w:ascii="Arial" w:hAnsi="Arial" w:cs="Arial"/>
        </w:rPr>
        <w:t xml:space="preserve">, relativas ao </w:t>
      </w:r>
      <w:r w:rsidRPr="008D5AA8">
        <w:rPr>
          <w:rStyle w:val="Forte"/>
          <w:rFonts w:ascii="Arial" w:hAnsi="Arial" w:cs="Arial"/>
          <w:b w:val="0"/>
          <w:bCs w:val="0"/>
        </w:rPr>
        <w:t>exercício financeiro de 2017</w:t>
      </w:r>
      <w:r w:rsidRPr="008D5AA8">
        <w:rPr>
          <w:rFonts w:ascii="Arial" w:hAnsi="Arial" w:cs="Arial"/>
        </w:rPr>
        <w:t xml:space="preserve">, prestadas pela então Chefe do Poder Executivo Municipal, </w:t>
      </w:r>
      <w:r w:rsidRPr="008D5AA8">
        <w:rPr>
          <w:rStyle w:val="Forte"/>
          <w:rFonts w:ascii="Arial" w:hAnsi="Arial" w:cs="Arial"/>
          <w:b w:val="0"/>
          <w:bCs w:val="0"/>
        </w:rPr>
        <w:t xml:space="preserve">Sra. Maria </w:t>
      </w:r>
      <w:proofErr w:type="spellStart"/>
      <w:r w:rsidRPr="008D5AA8">
        <w:rPr>
          <w:rStyle w:val="Forte"/>
          <w:rFonts w:ascii="Arial" w:hAnsi="Arial" w:cs="Arial"/>
          <w:b w:val="0"/>
          <w:bCs w:val="0"/>
        </w:rPr>
        <w:t>Vianey</w:t>
      </w:r>
      <w:proofErr w:type="spellEnd"/>
      <w:r w:rsidRPr="008D5AA8">
        <w:rPr>
          <w:rStyle w:val="Forte"/>
          <w:rFonts w:ascii="Arial" w:hAnsi="Arial" w:cs="Arial"/>
          <w:b w:val="0"/>
          <w:bCs w:val="0"/>
        </w:rPr>
        <w:t xml:space="preserve"> Pinheiro Bringel</w:t>
      </w:r>
      <w:r w:rsidRPr="008D5AA8">
        <w:rPr>
          <w:rFonts w:ascii="Arial" w:hAnsi="Arial" w:cs="Arial"/>
        </w:rPr>
        <w:t xml:space="preserve">, e submetidas à apreciação do Tribunal de Contas do Estado do Maranhão no âmbito do </w:t>
      </w:r>
      <w:r w:rsidRPr="008D5AA8">
        <w:rPr>
          <w:rStyle w:val="Forte"/>
          <w:rFonts w:ascii="Arial" w:hAnsi="Arial" w:cs="Arial"/>
          <w:b w:val="0"/>
          <w:bCs w:val="0"/>
        </w:rPr>
        <w:t>Processo nº 3444/2018-TCE/MA</w:t>
      </w:r>
      <w:r w:rsidRPr="008D5AA8">
        <w:rPr>
          <w:rFonts w:ascii="Arial" w:hAnsi="Arial" w:cs="Arial"/>
        </w:rPr>
        <w:t>.</w:t>
      </w:r>
    </w:p>
    <w:p w14:paraId="18F022F7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t xml:space="preserve">Consta dos autos encaminhados a esta Casa Legislativa que o </w:t>
      </w:r>
      <w:r w:rsidRPr="008D5AA8">
        <w:rPr>
          <w:rStyle w:val="Forte"/>
          <w:rFonts w:ascii="Arial" w:hAnsi="Arial" w:cs="Arial"/>
          <w:b w:val="0"/>
          <w:bCs w:val="0"/>
        </w:rPr>
        <w:t>Tribunal de Contas do Estado do Maranhão</w:t>
      </w:r>
      <w:r w:rsidRPr="008D5AA8">
        <w:rPr>
          <w:rFonts w:ascii="Arial" w:hAnsi="Arial" w:cs="Arial"/>
        </w:rPr>
        <w:t xml:space="preserve">, no exercício da competência que lhe é atribuída constitucional e legalmente, proferiu o </w:t>
      </w:r>
      <w:r w:rsidRPr="008D5AA8">
        <w:rPr>
          <w:rStyle w:val="Forte"/>
          <w:rFonts w:ascii="Arial" w:hAnsi="Arial" w:cs="Arial"/>
        </w:rPr>
        <w:t>Parecer Prévio-TCE nº 289/2022</w:t>
      </w:r>
      <w:r w:rsidRPr="008D5AA8">
        <w:rPr>
          <w:rFonts w:ascii="Arial" w:hAnsi="Arial" w:cs="Arial"/>
        </w:rPr>
        <w:t xml:space="preserve">, decidindo, à unanimidade, </w:t>
      </w:r>
      <w:r w:rsidRPr="008D5AA8">
        <w:rPr>
          <w:rStyle w:val="Forte"/>
          <w:rFonts w:ascii="Arial" w:hAnsi="Arial" w:cs="Arial"/>
          <w:b w:val="0"/>
          <w:bCs w:val="0"/>
        </w:rPr>
        <w:t>emitir parecer prévio pela aprovação das contas de governo do Município de Santa Inês/MA, relativas ao exercício financeiro de 2017</w:t>
      </w:r>
      <w:r w:rsidRPr="008D5AA8">
        <w:rPr>
          <w:rFonts w:ascii="Arial" w:hAnsi="Arial" w:cs="Arial"/>
        </w:rPr>
        <w:t xml:space="preserve">, consignando, para tanto, a </w:t>
      </w:r>
      <w:r w:rsidRPr="008D5AA8">
        <w:rPr>
          <w:rStyle w:val="Forte"/>
          <w:rFonts w:ascii="Arial" w:hAnsi="Arial" w:cs="Arial"/>
        </w:rPr>
        <w:t>inexistência de irregularidades remanescentes</w:t>
      </w:r>
      <w:r w:rsidRPr="008D5AA8">
        <w:rPr>
          <w:rFonts w:ascii="Arial" w:hAnsi="Arial" w:cs="Arial"/>
        </w:rPr>
        <w:t>. Determinou-se, ainda, a remessa da documentação pertinente à Câmara Municipal, para os fins do julgamento previsto no art. 31, § 2º, da Constituição Federal.</w:t>
      </w:r>
    </w:p>
    <w:p w14:paraId="4F7A0A2A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t xml:space="preserve">Verifica-se, outrossim, que o </w:t>
      </w:r>
      <w:r w:rsidRPr="008D5AA8">
        <w:rPr>
          <w:rStyle w:val="Forte"/>
          <w:rFonts w:ascii="Arial" w:hAnsi="Arial" w:cs="Arial"/>
          <w:b w:val="0"/>
          <w:bCs w:val="0"/>
        </w:rPr>
        <w:t>Ministério Público de Contas</w:t>
      </w:r>
      <w:r w:rsidRPr="008D5AA8">
        <w:rPr>
          <w:rFonts w:ascii="Arial" w:hAnsi="Arial" w:cs="Arial"/>
        </w:rPr>
        <w:t xml:space="preserve">, por intermédio do </w:t>
      </w:r>
      <w:r w:rsidRPr="008D5AA8">
        <w:rPr>
          <w:rStyle w:val="Forte"/>
          <w:rFonts w:ascii="Arial" w:hAnsi="Arial" w:cs="Arial"/>
          <w:b w:val="0"/>
          <w:bCs w:val="0"/>
        </w:rPr>
        <w:t>Parecer nº 379/2022/GPROC3/PHAR</w:t>
      </w:r>
      <w:r w:rsidRPr="008D5AA8">
        <w:rPr>
          <w:rFonts w:ascii="Arial" w:hAnsi="Arial" w:cs="Arial"/>
        </w:rPr>
        <w:t xml:space="preserve">, também se manifestou pela </w:t>
      </w:r>
      <w:r w:rsidRPr="008D5AA8">
        <w:rPr>
          <w:rStyle w:val="Forte"/>
          <w:rFonts w:ascii="Arial" w:hAnsi="Arial" w:cs="Arial"/>
        </w:rPr>
        <w:t>aprovação da prestação de contas anual do Prefeito</w:t>
      </w:r>
      <w:r w:rsidRPr="008D5AA8">
        <w:rPr>
          <w:rFonts w:ascii="Arial" w:hAnsi="Arial" w:cs="Arial"/>
        </w:rPr>
        <w:t xml:space="preserve">, ressaltando que, após a readequação da instrução processual e a emissão do </w:t>
      </w:r>
      <w:r w:rsidRPr="008D5AA8">
        <w:rPr>
          <w:rStyle w:val="Forte"/>
          <w:rFonts w:ascii="Arial" w:hAnsi="Arial" w:cs="Arial"/>
          <w:b w:val="0"/>
          <w:bCs w:val="0"/>
        </w:rPr>
        <w:t>Relatório de Instrução nº 1586/2022</w:t>
      </w:r>
      <w:r w:rsidRPr="008D5AA8">
        <w:rPr>
          <w:rFonts w:ascii="Arial" w:hAnsi="Arial" w:cs="Arial"/>
        </w:rPr>
        <w:t>, a análise técnica passou a apontar a inexistência de irregularidades aptas a comprometer a regularidade das contas de governo.</w:t>
      </w:r>
    </w:p>
    <w:p w14:paraId="17E4BC16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t xml:space="preserve">Importa assentar, para a devida higidez do procedimento legislativo, que houve manifestação anterior no processo pela </w:t>
      </w:r>
      <w:r w:rsidRPr="008D5AA8">
        <w:rPr>
          <w:rStyle w:val="Forte"/>
          <w:rFonts w:ascii="Arial" w:hAnsi="Arial" w:cs="Arial"/>
          <w:b w:val="0"/>
          <w:bCs w:val="0"/>
        </w:rPr>
        <w:t>aprovação com ressalvas</w:t>
      </w:r>
      <w:r w:rsidRPr="008D5AA8">
        <w:rPr>
          <w:rFonts w:ascii="Arial" w:hAnsi="Arial" w:cs="Arial"/>
        </w:rPr>
        <w:t xml:space="preserve">, constante de voto datado de 13 de outubro de 2021. Todavia, referida manifestação não representa o pronunciamento final da Corte de Contas, pois os autos retornaram à unidade técnica para adequação à sistemática instituída pela </w:t>
      </w:r>
      <w:r w:rsidRPr="008D5AA8">
        <w:rPr>
          <w:rStyle w:val="Forte"/>
          <w:rFonts w:ascii="Arial" w:hAnsi="Arial" w:cs="Arial"/>
        </w:rPr>
        <w:t>Decisão Normativa nº 43/2021</w:t>
      </w:r>
      <w:r w:rsidRPr="008D5AA8">
        <w:rPr>
          <w:rFonts w:ascii="Arial" w:hAnsi="Arial" w:cs="Arial"/>
        </w:rPr>
        <w:t xml:space="preserve">, sobrevindo, ao final, o parecer ministerial pela aprovação </w:t>
      </w:r>
      <w:r w:rsidRPr="008D5AA8">
        <w:rPr>
          <w:rFonts w:ascii="Arial" w:hAnsi="Arial" w:cs="Arial"/>
        </w:rPr>
        <w:lastRenderedPageBreak/>
        <w:t xml:space="preserve">e, posteriormente, o </w:t>
      </w:r>
      <w:r w:rsidRPr="008D5AA8">
        <w:rPr>
          <w:rStyle w:val="Forte"/>
          <w:rFonts w:ascii="Arial" w:hAnsi="Arial" w:cs="Arial"/>
        </w:rPr>
        <w:t>Parecer Prévio definitivo nº 289/2022</w:t>
      </w:r>
      <w:r w:rsidRPr="008D5AA8">
        <w:rPr>
          <w:rFonts w:ascii="Arial" w:hAnsi="Arial" w:cs="Arial"/>
        </w:rPr>
        <w:t>, que constitui o ato final a ser considerado por esta Câmara no exercício de sua competência julgadora.</w:t>
      </w:r>
    </w:p>
    <w:p w14:paraId="3D104EC4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t>É o relatório.</w:t>
      </w:r>
    </w:p>
    <w:p w14:paraId="35AA8694" w14:textId="77777777" w:rsidR="008D5AA8" w:rsidRPr="008D5AA8" w:rsidRDefault="008D5AA8" w:rsidP="008D5AA8">
      <w:pPr>
        <w:pStyle w:val="Ttulo3"/>
        <w:spacing w:line="360" w:lineRule="auto"/>
        <w:jc w:val="both"/>
        <w:rPr>
          <w:rFonts w:ascii="Arial" w:hAnsi="Arial" w:cs="Arial"/>
          <w:b/>
          <w:bCs/>
          <w:color w:val="auto"/>
        </w:rPr>
      </w:pPr>
      <w:r w:rsidRPr="008D5AA8">
        <w:rPr>
          <w:rFonts w:ascii="Arial" w:hAnsi="Arial" w:cs="Arial"/>
          <w:b/>
          <w:bCs/>
          <w:color w:val="auto"/>
        </w:rPr>
        <w:t>II – FUNDAMENTAÇÃO</w:t>
      </w:r>
    </w:p>
    <w:p w14:paraId="69F99948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t xml:space="preserve">A apreciação das contas anuais do Chefe do Poder Executivo Municipal insere-se no âmbito do </w:t>
      </w:r>
      <w:r w:rsidRPr="008D5AA8">
        <w:rPr>
          <w:rStyle w:val="Forte"/>
          <w:rFonts w:ascii="Arial" w:hAnsi="Arial" w:cs="Arial"/>
          <w:b w:val="0"/>
          <w:bCs w:val="0"/>
        </w:rPr>
        <w:t>controle externo exercido pela Câmara Municipal</w:t>
      </w:r>
      <w:r w:rsidRPr="008D5AA8">
        <w:rPr>
          <w:rFonts w:ascii="Arial" w:hAnsi="Arial" w:cs="Arial"/>
        </w:rPr>
        <w:t xml:space="preserve">, com o auxílio do Tribunal de Contas, nos termos do art. 31 da Constituição da República. Ao Tribunal de Contas compete a emissão de </w:t>
      </w:r>
      <w:r w:rsidRPr="008D5AA8">
        <w:rPr>
          <w:rStyle w:val="Forte"/>
          <w:rFonts w:ascii="Arial" w:hAnsi="Arial" w:cs="Arial"/>
          <w:b w:val="0"/>
          <w:bCs w:val="0"/>
        </w:rPr>
        <w:t>parecer prévio técnico</w:t>
      </w:r>
      <w:r w:rsidRPr="008D5AA8">
        <w:rPr>
          <w:rFonts w:ascii="Arial" w:hAnsi="Arial" w:cs="Arial"/>
        </w:rPr>
        <w:t xml:space="preserve">, cabendo à Câmara Municipal o </w:t>
      </w:r>
      <w:r w:rsidRPr="008D5AA8">
        <w:rPr>
          <w:rStyle w:val="Forte"/>
          <w:rFonts w:ascii="Arial" w:hAnsi="Arial" w:cs="Arial"/>
          <w:b w:val="0"/>
          <w:bCs w:val="0"/>
        </w:rPr>
        <w:t>julgamento político-administrativo</w:t>
      </w:r>
      <w:r w:rsidRPr="008D5AA8">
        <w:rPr>
          <w:rFonts w:ascii="Arial" w:hAnsi="Arial" w:cs="Arial"/>
        </w:rPr>
        <w:t xml:space="preserve"> das contas de governo. O parecer prévio da Corte de Contas, embora não substitua o julgamento legislativo, possui elevada densidade técnico-jurídica e somente deixará de prevalecer por deliberação qualificada da Câmara, nos termos constitucionais.</w:t>
      </w:r>
    </w:p>
    <w:p w14:paraId="277A3DDE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t xml:space="preserve">No caso sob exame, o pronunciamento final do órgão técnico de controle externo foi expresso, categórico e conclusivo no sentido da </w:t>
      </w:r>
      <w:r w:rsidRPr="008D5AA8">
        <w:rPr>
          <w:rStyle w:val="Forte"/>
          <w:rFonts w:ascii="Arial" w:hAnsi="Arial" w:cs="Arial"/>
        </w:rPr>
        <w:t>aprovação das contas</w:t>
      </w:r>
      <w:r w:rsidRPr="008D5AA8">
        <w:rPr>
          <w:rFonts w:ascii="Arial" w:hAnsi="Arial" w:cs="Arial"/>
        </w:rPr>
        <w:t xml:space="preserve">, porquanto reconhecida a </w:t>
      </w:r>
      <w:r w:rsidRPr="008D5AA8">
        <w:rPr>
          <w:rStyle w:val="Forte"/>
          <w:rFonts w:ascii="Arial" w:hAnsi="Arial" w:cs="Arial"/>
        </w:rPr>
        <w:t>inexistência de irregularidades remanescentes</w:t>
      </w:r>
      <w:r w:rsidRPr="008D5AA8">
        <w:rPr>
          <w:rFonts w:ascii="Arial" w:hAnsi="Arial" w:cs="Arial"/>
        </w:rPr>
        <w:t xml:space="preserve"> no tocante à gestão governamental do exercício de 2017. Assim, a documentação final remetida a esta Casa não oferece suporte técnico para rejeição das contas, mas, ao revés, orienta objetivamente pela sua aprovação.</w:t>
      </w:r>
    </w:p>
    <w:p w14:paraId="17A437E8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t xml:space="preserve">Também o Ministério Público de Contas, em sua manifestação conclusiva, registrou que os indicadores de desempenho e os demonstrativos finais examinados revelaram compatibilidade da gestão com os parâmetros constitucionais e legais aplicáveis, destacando, entre outros aspectos: observância do limite de despesa com pessoal; aplicação de recursos em manutenção e desenvolvimento do ensino em patamar superior ao mínimo constitucional; destinação dos recursos do FUNDEB em conformidade com a legislação pertinente; cumprimento do mínimo constitucional em ações e </w:t>
      </w:r>
      <w:r w:rsidRPr="008D5AA8">
        <w:rPr>
          <w:rFonts w:ascii="Arial" w:hAnsi="Arial" w:cs="Arial"/>
        </w:rPr>
        <w:lastRenderedPageBreak/>
        <w:t>serviços públicos de saúde; regularidade do repasse de duodécimos ao Poder Legislativo; e atendimento às exigências de transparência e controle social da gestão orçamentária e fiscal.</w:t>
      </w:r>
    </w:p>
    <w:p w14:paraId="120172FC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t xml:space="preserve">Com efeito, ainda que tenha existido, em momento processual anterior, compreensão pela aprovação com ressalvas, tal cenário foi ulteriormente revisto em decorrência da reabertura da instrução, sobrevindo nova manifestação técnica e novo parecer ministerial, culminando no </w:t>
      </w:r>
      <w:r w:rsidRPr="008D5AA8">
        <w:rPr>
          <w:rStyle w:val="Forte"/>
          <w:rFonts w:ascii="Arial" w:hAnsi="Arial" w:cs="Arial"/>
        </w:rPr>
        <w:t>parecer prévio final pela aprovação simples das contas</w:t>
      </w:r>
      <w:r w:rsidRPr="008D5AA8">
        <w:rPr>
          <w:rFonts w:ascii="Arial" w:hAnsi="Arial" w:cs="Arial"/>
        </w:rPr>
        <w:t xml:space="preserve">. Em matéria de apreciação legislativa das contas do Executivo, a referência jurídica adequada deve recair sobre o </w:t>
      </w:r>
      <w:r w:rsidRPr="008D5AA8">
        <w:rPr>
          <w:rStyle w:val="Forte"/>
          <w:rFonts w:ascii="Arial" w:hAnsi="Arial" w:cs="Arial"/>
          <w:b w:val="0"/>
          <w:bCs w:val="0"/>
        </w:rPr>
        <w:t>pronunciamento final da Corte de Contas</w:t>
      </w:r>
      <w:r w:rsidRPr="008D5AA8">
        <w:rPr>
          <w:rFonts w:ascii="Arial" w:hAnsi="Arial" w:cs="Arial"/>
        </w:rPr>
        <w:t>, e não sobre peças intermediárias eventualmente superadas no curso do processo.</w:t>
      </w:r>
    </w:p>
    <w:p w14:paraId="5CA4EDC2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t>Nesse contexto, à luz da documentação constante dos autos, do parecer prévio definitivo do Tribunal de Contas, da manifestação final do Ministério Público de Contas e da competência constitucional desta Câmara Municipal, não se vislumbram razões jurídicas ou técnicas suficientes para que esta Comissão proponha solução diversa daquela adotada pela Corte de Contas.</w:t>
      </w:r>
    </w:p>
    <w:p w14:paraId="3E421EDE" w14:textId="77777777" w:rsidR="008D5AA8" w:rsidRPr="008D5AA8" w:rsidRDefault="008D5AA8" w:rsidP="008D5AA8">
      <w:pPr>
        <w:pStyle w:val="Ttulo3"/>
        <w:spacing w:line="360" w:lineRule="auto"/>
        <w:jc w:val="both"/>
        <w:rPr>
          <w:rFonts w:ascii="Arial" w:hAnsi="Arial" w:cs="Arial"/>
          <w:b/>
          <w:bCs/>
          <w:color w:val="auto"/>
        </w:rPr>
      </w:pPr>
      <w:r w:rsidRPr="008D5AA8">
        <w:rPr>
          <w:rFonts w:ascii="Arial" w:hAnsi="Arial" w:cs="Arial"/>
          <w:b/>
          <w:bCs/>
          <w:color w:val="auto"/>
        </w:rPr>
        <w:t>III – VOTO DO RELATOR</w:t>
      </w:r>
    </w:p>
    <w:p w14:paraId="09A6FA00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t xml:space="preserve">Ante o exposto, </w:t>
      </w:r>
      <w:r w:rsidRPr="008D5AA8">
        <w:rPr>
          <w:rStyle w:val="Forte"/>
          <w:rFonts w:ascii="Arial" w:hAnsi="Arial" w:cs="Arial"/>
        </w:rPr>
        <w:t xml:space="preserve">vota o Relator pela APROVAÇÃO das Contas Anuais de Governo do Município de Santa Inês/MA, relativas ao exercício financeiro de 2017, de responsabilidade da Sra. Maria </w:t>
      </w:r>
      <w:proofErr w:type="spellStart"/>
      <w:r w:rsidRPr="008D5AA8">
        <w:rPr>
          <w:rStyle w:val="Forte"/>
          <w:rFonts w:ascii="Arial" w:hAnsi="Arial" w:cs="Arial"/>
        </w:rPr>
        <w:t>Vianey</w:t>
      </w:r>
      <w:proofErr w:type="spellEnd"/>
      <w:r w:rsidRPr="008D5AA8">
        <w:rPr>
          <w:rStyle w:val="Forte"/>
          <w:rFonts w:ascii="Arial" w:hAnsi="Arial" w:cs="Arial"/>
        </w:rPr>
        <w:t xml:space="preserve"> Pinheiro Bringel</w:t>
      </w:r>
      <w:r w:rsidRPr="008D5AA8">
        <w:rPr>
          <w:rFonts w:ascii="Arial" w:hAnsi="Arial" w:cs="Arial"/>
        </w:rPr>
        <w:t xml:space="preserve">, nos exatos termos do </w:t>
      </w:r>
      <w:r w:rsidRPr="008D5AA8">
        <w:rPr>
          <w:rStyle w:val="Forte"/>
          <w:rFonts w:ascii="Arial" w:hAnsi="Arial" w:cs="Arial"/>
        </w:rPr>
        <w:t>Parecer Prévio-TCE nº 289/2022</w:t>
      </w:r>
      <w:r w:rsidRPr="008D5AA8">
        <w:rPr>
          <w:rFonts w:ascii="Arial" w:hAnsi="Arial" w:cs="Arial"/>
        </w:rPr>
        <w:t>, expedido pelo Tribunal de Contas do Estado do Maranhão.</w:t>
      </w:r>
    </w:p>
    <w:p w14:paraId="65D19330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t>Propõe-se, ainda, que o presente parecer seja submetido à deliberação dos membros desta Comissão e, se aprovado, posteriormente encaminhado ao Plenário da Câmara Municipal para julgamento, na forma regimental e constitucional.</w:t>
      </w:r>
    </w:p>
    <w:p w14:paraId="34087354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lastRenderedPageBreak/>
        <w:t>É o voto.</w:t>
      </w:r>
    </w:p>
    <w:p w14:paraId="433D1DA8" w14:textId="77777777" w:rsidR="008D5AA8" w:rsidRPr="008D5AA8" w:rsidRDefault="008D5AA8" w:rsidP="008D5AA8">
      <w:pPr>
        <w:pStyle w:val="Ttulo3"/>
        <w:spacing w:line="360" w:lineRule="auto"/>
        <w:jc w:val="both"/>
        <w:rPr>
          <w:rFonts w:ascii="Arial" w:hAnsi="Arial" w:cs="Arial"/>
          <w:b/>
          <w:bCs/>
          <w:color w:val="auto"/>
        </w:rPr>
      </w:pPr>
      <w:r w:rsidRPr="008D5AA8">
        <w:rPr>
          <w:rFonts w:ascii="Arial" w:hAnsi="Arial" w:cs="Arial"/>
          <w:b/>
          <w:bCs/>
          <w:color w:val="auto"/>
        </w:rPr>
        <w:t>IV – PARECER DA COMISSÃO</w:t>
      </w:r>
    </w:p>
    <w:p w14:paraId="1AA77C18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t xml:space="preserve">A </w:t>
      </w:r>
      <w:r w:rsidRPr="008D5AA8">
        <w:rPr>
          <w:rStyle w:val="Forte"/>
          <w:rFonts w:ascii="Arial" w:hAnsi="Arial" w:cs="Arial"/>
          <w:b w:val="0"/>
          <w:bCs w:val="0"/>
        </w:rPr>
        <w:t>Comissão de Orçamento, Finanças, Fiscalização e Controle</w:t>
      </w:r>
      <w:r w:rsidRPr="008D5AA8">
        <w:rPr>
          <w:rFonts w:ascii="Arial" w:hAnsi="Arial" w:cs="Arial"/>
        </w:rPr>
        <w:t xml:space="preserve">, reunida na forma regimental, </w:t>
      </w:r>
      <w:r w:rsidRPr="008D5AA8">
        <w:rPr>
          <w:rStyle w:val="Forte"/>
          <w:rFonts w:ascii="Arial" w:hAnsi="Arial" w:cs="Arial"/>
          <w:b w:val="0"/>
          <w:bCs w:val="0"/>
        </w:rPr>
        <w:t>acolhe integralmente o voto do Relator</w:t>
      </w:r>
      <w:r w:rsidRPr="008D5AA8">
        <w:rPr>
          <w:rFonts w:ascii="Arial" w:hAnsi="Arial" w:cs="Arial"/>
        </w:rPr>
        <w:t xml:space="preserve"> e, por conseguinte, </w:t>
      </w:r>
      <w:r w:rsidRPr="008D5AA8">
        <w:rPr>
          <w:rStyle w:val="Forte"/>
          <w:rFonts w:ascii="Arial" w:hAnsi="Arial" w:cs="Arial"/>
        </w:rPr>
        <w:t>OPINA PELA APROVAÇÃO</w:t>
      </w:r>
      <w:r w:rsidRPr="008D5AA8">
        <w:rPr>
          <w:rFonts w:ascii="Arial" w:hAnsi="Arial" w:cs="Arial"/>
        </w:rPr>
        <w:t xml:space="preserve"> das </w:t>
      </w:r>
      <w:r w:rsidRPr="008D5AA8">
        <w:rPr>
          <w:rStyle w:val="Forte"/>
          <w:rFonts w:ascii="Arial" w:hAnsi="Arial" w:cs="Arial"/>
        </w:rPr>
        <w:t xml:space="preserve">Contas Anuais de Governo do Poder Executivo do Município de Santa Inês/MA, referentes ao exercício financeiro de 2017, de responsabilidade da Sra. Maria </w:t>
      </w:r>
      <w:proofErr w:type="spellStart"/>
      <w:r w:rsidRPr="008D5AA8">
        <w:rPr>
          <w:rStyle w:val="Forte"/>
          <w:rFonts w:ascii="Arial" w:hAnsi="Arial" w:cs="Arial"/>
        </w:rPr>
        <w:t>Vianey</w:t>
      </w:r>
      <w:proofErr w:type="spellEnd"/>
      <w:r w:rsidRPr="008D5AA8">
        <w:rPr>
          <w:rStyle w:val="Forte"/>
          <w:rFonts w:ascii="Arial" w:hAnsi="Arial" w:cs="Arial"/>
        </w:rPr>
        <w:t xml:space="preserve"> Pinheiro Bringel</w:t>
      </w:r>
      <w:r w:rsidRPr="008D5AA8">
        <w:rPr>
          <w:rFonts w:ascii="Arial" w:hAnsi="Arial" w:cs="Arial"/>
        </w:rPr>
        <w:t xml:space="preserve">, em conformidade com o </w:t>
      </w:r>
      <w:r w:rsidRPr="008D5AA8">
        <w:rPr>
          <w:rStyle w:val="Forte"/>
          <w:rFonts w:ascii="Arial" w:hAnsi="Arial" w:cs="Arial"/>
          <w:b w:val="0"/>
          <w:bCs w:val="0"/>
        </w:rPr>
        <w:t>Parecer Prévio-TCE nº 289/2022</w:t>
      </w:r>
      <w:r w:rsidRPr="008D5AA8">
        <w:rPr>
          <w:rFonts w:ascii="Arial" w:hAnsi="Arial" w:cs="Arial"/>
        </w:rPr>
        <w:t>.</w:t>
      </w:r>
    </w:p>
    <w:p w14:paraId="265051D4" w14:textId="77777777" w:rsidR="008D5AA8" w:rsidRPr="008D5AA8" w:rsidRDefault="008D5AA8" w:rsidP="008D5AA8">
      <w:pPr>
        <w:pStyle w:val="NormalWeb"/>
        <w:spacing w:line="360" w:lineRule="auto"/>
        <w:jc w:val="both"/>
        <w:rPr>
          <w:rFonts w:ascii="Arial" w:hAnsi="Arial" w:cs="Arial"/>
        </w:rPr>
      </w:pPr>
      <w:r w:rsidRPr="008D5AA8">
        <w:rPr>
          <w:rFonts w:ascii="Arial" w:hAnsi="Arial" w:cs="Arial"/>
        </w:rPr>
        <w:t>Encaminhe-se o presente parecer à Mesa Diretora para inclusão da matéria na ordem do dia, a fim de que seja submetida à apreciação e julgamento pelo Plenário desta Câmara Municipal.</w:t>
      </w:r>
    </w:p>
    <w:p w14:paraId="65F38D6C" w14:textId="1BE139B0" w:rsidR="008D5AA8" w:rsidRDefault="008D5AA8" w:rsidP="008D5AA8">
      <w:pPr>
        <w:pStyle w:val="NormalWeb"/>
        <w:spacing w:line="360" w:lineRule="auto"/>
        <w:jc w:val="center"/>
        <w:rPr>
          <w:rFonts w:ascii="Arial" w:hAnsi="Arial" w:cs="Arial"/>
        </w:rPr>
      </w:pPr>
      <w:r w:rsidRPr="008D5AA8">
        <w:rPr>
          <w:rStyle w:val="Forte"/>
          <w:rFonts w:ascii="Arial" w:hAnsi="Arial" w:cs="Arial"/>
          <w:b w:val="0"/>
          <w:bCs w:val="0"/>
        </w:rPr>
        <w:t xml:space="preserve">Sala das Comissões, </w:t>
      </w:r>
      <w:r>
        <w:rPr>
          <w:rStyle w:val="Forte"/>
          <w:rFonts w:ascii="Arial" w:hAnsi="Arial" w:cs="Arial"/>
          <w:b w:val="0"/>
          <w:bCs w:val="0"/>
        </w:rPr>
        <w:t>14</w:t>
      </w:r>
      <w:r w:rsidRPr="008D5AA8">
        <w:rPr>
          <w:rStyle w:val="Forte"/>
          <w:rFonts w:ascii="Arial" w:hAnsi="Arial" w:cs="Arial"/>
          <w:b w:val="0"/>
          <w:bCs w:val="0"/>
        </w:rPr>
        <w:t xml:space="preserve"> de </w:t>
      </w:r>
      <w:r>
        <w:rPr>
          <w:rStyle w:val="Forte"/>
          <w:rFonts w:ascii="Arial" w:hAnsi="Arial" w:cs="Arial"/>
          <w:b w:val="0"/>
          <w:bCs w:val="0"/>
        </w:rPr>
        <w:t>abril</w:t>
      </w:r>
      <w:r w:rsidRPr="008D5AA8">
        <w:rPr>
          <w:rStyle w:val="Forte"/>
          <w:rFonts w:ascii="Arial" w:hAnsi="Arial" w:cs="Arial"/>
          <w:b w:val="0"/>
          <w:bCs w:val="0"/>
        </w:rPr>
        <w:t xml:space="preserve"> de </w:t>
      </w:r>
      <w:r>
        <w:rPr>
          <w:rStyle w:val="Forte"/>
          <w:rFonts w:ascii="Arial" w:hAnsi="Arial" w:cs="Arial"/>
          <w:b w:val="0"/>
          <w:bCs w:val="0"/>
        </w:rPr>
        <w:t>2026</w:t>
      </w:r>
      <w:r w:rsidRPr="008D5AA8">
        <w:rPr>
          <w:rStyle w:val="Forte"/>
          <w:rFonts w:ascii="Arial" w:hAnsi="Arial" w:cs="Arial"/>
          <w:b w:val="0"/>
          <w:bCs w:val="0"/>
        </w:rPr>
        <w:t>.</w:t>
      </w:r>
    </w:p>
    <w:p w14:paraId="4547B12E" w14:textId="77777777" w:rsidR="001D6D60" w:rsidRDefault="001D6D60" w:rsidP="001D6D60">
      <w:pPr>
        <w:spacing w:before="100" w:beforeAutospacing="1" w:after="100" w:afterAutospacing="1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4B856357" w14:textId="3BFE352A" w:rsidR="008D5AA8" w:rsidRPr="001D6D60" w:rsidRDefault="001D6D60" w:rsidP="001D6D60">
      <w:pPr>
        <w:spacing w:before="100" w:beforeAutospacing="1" w:after="100" w:afterAutospacing="1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Jucicléia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de Araújo 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Souz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  -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="008D5AA8" w:rsidRPr="001D6D60">
        <w:rPr>
          <w:rStyle w:val="Forte"/>
          <w:rFonts w:ascii="Arial" w:hAnsi="Arial" w:cs="Arial"/>
          <w:b w:val="0"/>
          <w:bCs w:val="0"/>
        </w:rPr>
        <w:t>Presidente da Comissão</w:t>
      </w:r>
    </w:p>
    <w:p w14:paraId="5740EB27" w14:textId="7AB47204" w:rsidR="008D5AA8" w:rsidRPr="008D5AA8" w:rsidRDefault="008D5AA8" w:rsidP="008D5AA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0B2171C9" w14:textId="530A22BC" w:rsidR="001D6D60" w:rsidRDefault="001D6D60" w:rsidP="001D6D60">
      <w:pPr>
        <w:spacing w:before="100" w:beforeAutospacing="1" w:after="100" w:afterAutospacing="1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Evaldo do Nascimento Silva </w:t>
      </w:r>
      <w:r w:rsidRPr="001D6D60">
        <w:rPr>
          <w:rFonts w:ascii="Arial" w:eastAsia="Times New Roman" w:hAnsi="Arial" w:cs="Arial"/>
          <w:sz w:val="24"/>
          <w:szCs w:val="24"/>
          <w:lang w:eastAsia="pt-BR"/>
        </w:rPr>
        <w:t>- Relator</w:t>
      </w:r>
    </w:p>
    <w:p w14:paraId="1D16D96E" w14:textId="77777777" w:rsidR="001D6D60" w:rsidRDefault="001D6D60" w:rsidP="001D6D60">
      <w:pPr>
        <w:spacing w:before="100" w:beforeAutospacing="1" w:after="100" w:afterAutospacing="1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10A0074A" w14:textId="77777777" w:rsidR="001D6D60" w:rsidRDefault="001D6D60" w:rsidP="001D6D60">
      <w:pPr>
        <w:spacing w:before="100" w:beforeAutospacing="1" w:after="100" w:afterAutospacing="1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788A6D0A" w14:textId="40E42047" w:rsidR="008D5AA8" w:rsidRPr="001D6D60" w:rsidRDefault="001D6D60" w:rsidP="001D6D60">
      <w:pPr>
        <w:spacing w:before="100" w:beforeAutospacing="1" w:after="100" w:afterAutospacing="1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Antônio de Jesus dos Santos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– </w:t>
      </w:r>
      <w:r w:rsidRPr="001D6D60">
        <w:rPr>
          <w:rFonts w:ascii="Arial" w:eastAsia="Times New Roman" w:hAnsi="Arial" w:cs="Arial"/>
          <w:sz w:val="24"/>
          <w:szCs w:val="24"/>
          <w:lang w:eastAsia="pt-BR"/>
        </w:rPr>
        <w:t>2</w:t>
      </w:r>
      <w:proofErr w:type="gramStart"/>
      <w:r w:rsidRPr="001D6D60">
        <w:rPr>
          <w:rFonts w:ascii="Arial" w:eastAsia="Times New Roman" w:hAnsi="Arial" w:cs="Arial"/>
          <w:sz w:val="24"/>
          <w:szCs w:val="24"/>
          <w:lang w:eastAsia="pt-BR"/>
        </w:rPr>
        <w:t>°  Membro</w:t>
      </w:r>
      <w:proofErr w:type="gramEnd"/>
    </w:p>
    <w:p w14:paraId="71861F20" w14:textId="7A7DB579" w:rsidR="008D5AA8" w:rsidRDefault="008D5AA8" w:rsidP="008D5AA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sectPr w:rsidR="008D5AA8" w:rsidSect="00C723A8">
      <w:headerReference w:type="default" r:id="rId7"/>
      <w:footerReference w:type="default" r:id="rId8"/>
      <w:pgSz w:w="11906" w:h="16838"/>
      <w:pgMar w:top="709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DDB36" w14:textId="77777777" w:rsidR="00971370" w:rsidRDefault="00971370" w:rsidP="00C723A8">
      <w:pPr>
        <w:spacing w:after="0" w:line="240" w:lineRule="auto"/>
      </w:pPr>
      <w:r>
        <w:separator/>
      </w:r>
    </w:p>
  </w:endnote>
  <w:endnote w:type="continuationSeparator" w:id="0">
    <w:p w14:paraId="322D55BA" w14:textId="77777777" w:rsidR="00971370" w:rsidRDefault="00971370" w:rsidP="00C723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55009995"/>
      <w:docPartObj>
        <w:docPartGallery w:val="Page Numbers (Bottom of Page)"/>
        <w:docPartUnique/>
      </w:docPartObj>
    </w:sdtPr>
    <w:sdtContent>
      <w:p w14:paraId="2871BD9E" w14:textId="1B47BEDE" w:rsidR="00C723A8" w:rsidRDefault="00C723A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27BFD38" w14:textId="77777777" w:rsidR="00C723A8" w:rsidRDefault="00C723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AF31E" w14:textId="77777777" w:rsidR="00971370" w:rsidRDefault="00971370" w:rsidP="00C723A8">
      <w:pPr>
        <w:spacing w:after="0" w:line="240" w:lineRule="auto"/>
      </w:pPr>
      <w:r>
        <w:separator/>
      </w:r>
    </w:p>
  </w:footnote>
  <w:footnote w:type="continuationSeparator" w:id="0">
    <w:p w14:paraId="064D56F2" w14:textId="77777777" w:rsidR="00971370" w:rsidRDefault="00971370" w:rsidP="00C723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15B57" w14:textId="77777777" w:rsidR="00C723A8" w:rsidRDefault="00C723A8" w:rsidP="00C723A8">
    <w:pPr>
      <w:jc w:val="center"/>
      <w:rPr>
        <w:rFonts w:ascii="Arial" w:hAnsi="Arial" w:cs="Arial"/>
        <w:b/>
      </w:rPr>
    </w:pPr>
    <w:r>
      <w:rPr>
        <w:rFonts w:ascii="Arial" w:hAnsi="Arial" w:cs="Arial"/>
        <w:b/>
        <w:noProof/>
        <w:lang w:eastAsia="pt-BR"/>
      </w:rPr>
      <w:drawing>
        <wp:inline distT="0" distB="0" distL="0" distR="0" wp14:anchorId="4EBA7B36" wp14:editId="631594B1">
          <wp:extent cx="723900" cy="746289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4912" cy="7473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59D3B8" w14:textId="77777777" w:rsidR="00C723A8" w:rsidRPr="00E034B7" w:rsidRDefault="00C723A8" w:rsidP="00C723A8">
    <w:pPr>
      <w:spacing w:after="0" w:line="240" w:lineRule="auto"/>
      <w:jc w:val="center"/>
      <w:rPr>
        <w:rFonts w:ascii="Arial" w:hAnsi="Arial" w:cs="Arial"/>
        <w:b/>
      </w:rPr>
    </w:pPr>
    <w:r w:rsidRPr="00E034B7">
      <w:rPr>
        <w:rFonts w:ascii="Arial" w:hAnsi="Arial" w:cs="Arial"/>
        <w:b/>
      </w:rPr>
      <w:t>ESTADO DO MARANHÃO</w:t>
    </w:r>
  </w:p>
  <w:p w14:paraId="631C461C" w14:textId="77777777" w:rsidR="00C723A8" w:rsidRPr="00E034B7" w:rsidRDefault="00C723A8" w:rsidP="00C723A8">
    <w:pPr>
      <w:spacing w:after="0" w:line="240" w:lineRule="auto"/>
      <w:jc w:val="center"/>
      <w:rPr>
        <w:rFonts w:ascii="Arial" w:hAnsi="Arial" w:cs="Arial"/>
        <w:b/>
      </w:rPr>
    </w:pPr>
    <w:r w:rsidRPr="00E034B7">
      <w:rPr>
        <w:rFonts w:ascii="Arial" w:hAnsi="Arial" w:cs="Arial"/>
        <w:b/>
      </w:rPr>
      <w:t>CÂMARA MUNICIPAL DE SANTA INÊS</w:t>
    </w:r>
  </w:p>
  <w:p w14:paraId="1EABC042" w14:textId="77777777" w:rsidR="00C723A8" w:rsidRDefault="00C723A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D2740"/>
    <w:multiLevelType w:val="multilevel"/>
    <w:tmpl w:val="EB022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C2BD4"/>
    <w:multiLevelType w:val="multilevel"/>
    <w:tmpl w:val="55D8DB2A"/>
    <w:lvl w:ilvl="0">
      <w:start w:val="1"/>
      <w:numFmt w:val="bullet"/>
      <w:lvlText w:val=""/>
      <w:lvlJc w:val="left"/>
      <w:pPr>
        <w:ind w:left="1749" w:hanging="615"/>
      </w:pPr>
      <w:rPr>
        <w:rFonts w:ascii="Wingdings" w:hAnsi="Wingdings" w:hint="default"/>
      </w:rPr>
    </w:lvl>
    <w:lvl w:ilvl="1">
      <w:start w:val="1"/>
      <w:numFmt w:val="decimalZero"/>
      <w:lvlText w:val="%1.%2"/>
      <w:lvlJc w:val="left"/>
      <w:pPr>
        <w:ind w:left="2457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7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4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54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98" w:hanging="1800"/>
      </w:pPr>
      <w:rPr>
        <w:rFonts w:hint="default"/>
      </w:rPr>
    </w:lvl>
  </w:abstractNum>
  <w:abstractNum w:abstractNumId="2" w15:restartNumberingAfterBreak="0">
    <w:nsid w:val="13B001B0"/>
    <w:multiLevelType w:val="hybridMultilevel"/>
    <w:tmpl w:val="B4B4E462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DA15A89"/>
    <w:multiLevelType w:val="multilevel"/>
    <w:tmpl w:val="E6A02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C025C4"/>
    <w:multiLevelType w:val="multilevel"/>
    <w:tmpl w:val="1F686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B86A65"/>
    <w:multiLevelType w:val="multilevel"/>
    <w:tmpl w:val="CBB46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7748971">
    <w:abstractNumId w:val="2"/>
  </w:num>
  <w:num w:numId="2" w16cid:durableId="10940148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59633511">
    <w:abstractNumId w:val="1"/>
  </w:num>
  <w:num w:numId="4" w16cid:durableId="153301633">
    <w:abstractNumId w:val="4"/>
  </w:num>
  <w:num w:numId="5" w16cid:durableId="1489518633">
    <w:abstractNumId w:val="3"/>
  </w:num>
  <w:num w:numId="6" w16cid:durableId="1135874538">
    <w:abstractNumId w:val="5"/>
  </w:num>
  <w:num w:numId="7" w16cid:durableId="398096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3B0"/>
    <w:rsid w:val="00023F44"/>
    <w:rsid w:val="0002440E"/>
    <w:rsid w:val="00056BAE"/>
    <w:rsid w:val="00085E13"/>
    <w:rsid w:val="00087B09"/>
    <w:rsid w:val="000B1563"/>
    <w:rsid w:val="000B3AC2"/>
    <w:rsid w:val="000D52AB"/>
    <w:rsid w:val="000F59D5"/>
    <w:rsid w:val="00154C2D"/>
    <w:rsid w:val="001A5B27"/>
    <w:rsid w:val="001C6F85"/>
    <w:rsid w:val="001D3219"/>
    <w:rsid w:val="001D6D60"/>
    <w:rsid w:val="00210C13"/>
    <w:rsid w:val="002158D2"/>
    <w:rsid w:val="00215BD4"/>
    <w:rsid w:val="00282C33"/>
    <w:rsid w:val="002B0B60"/>
    <w:rsid w:val="002B7D53"/>
    <w:rsid w:val="0040692E"/>
    <w:rsid w:val="004139D6"/>
    <w:rsid w:val="00426A0F"/>
    <w:rsid w:val="00462D02"/>
    <w:rsid w:val="00475D2D"/>
    <w:rsid w:val="0048179B"/>
    <w:rsid w:val="0048244F"/>
    <w:rsid w:val="004B2C84"/>
    <w:rsid w:val="004B7200"/>
    <w:rsid w:val="004E5570"/>
    <w:rsid w:val="004F0F06"/>
    <w:rsid w:val="00552077"/>
    <w:rsid w:val="005678E6"/>
    <w:rsid w:val="005938BB"/>
    <w:rsid w:val="00595682"/>
    <w:rsid w:val="005B56E2"/>
    <w:rsid w:val="005E64E6"/>
    <w:rsid w:val="005F0646"/>
    <w:rsid w:val="00602B7E"/>
    <w:rsid w:val="00645AE1"/>
    <w:rsid w:val="006659D0"/>
    <w:rsid w:val="00665AF2"/>
    <w:rsid w:val="00677558"/>
    <w:rsid w:val="006A7BDC"/>
    <w:rsid w:val="006D62BB"/>
    <w:rsid w:val="00702EBB"/>
    <w:rsid w:val="007221AA"/>
    <w:rsid w:val="0075472D"/>
    <w:rsid w:val="007A1950"/>
    <w:rsid w:val="007B3D45"/>
    <w:rsid w:val="00801EFA"/>
    <w:rsid w:val="0080773B"/>
    <w:rsid w:val="008233AA"/>
    <w:rsid w:val="0084314A"/>
    <w:rsid w:val="008A566A"/>
    <w:rsid w:val="008B343C"/>
    <w:rsid w:val="008B678B"/>
    <w:rsid w:val="008D5AA8"/>
    <w:rsid w:val="008F4434"/>
    <w:rsid w:val="00916A34"/>
    <w:rsid w:val="00957523"/>
    <w:rsid w:val="00971370"/>
    <w:rsid w:val="00996D24"/>
    <w:rsid w:val="009F7BA6"/>
    <w:rsid w:val="00A122A1"/>
    <w:rsid w:val="00A323CD"/>
    <w:rsid w:val="00A50F45"/>
    <w:rsid w:val="00A6602E"/>
    <w:rsid w:val="00A702B7"/>
    <w:rsid w:val="00A96772"/>
    <w:rsid w:val="00AB1F95"/>
    <w:rsid w:val="00AD7811"/>
    <w:rsid w:val="00AF1F8A"/>
    <w:rsid w:val="00AF7E20"/>
    <w:rsid w:val="00B07FA3"/>
    <w:rsid w:val="00B26897"/>
    <w:rsid w:val="00BB6E12"/>
    <w:rsid w:val="00BE0FAE"/>
    <w:rsid w:val="00BF3009"/>
    <w:rsid w:val="00C00B80"/>
    <w:rsid w:val="00C20B83"/>
    <w:rsid w:val="00C24D0E"/>
    <w:rsid w:val="00C30376"/>
    <w:rsid w:val="00C723A8"/>
    <w:rsid w:val="00C90AB9"/>
    <w:rsid w:val="00CD195C"/>
    <w:rsid w:val="00D04871"/>
    <w:rsid w:val="00D11BC1"/>
    <w:rsid w:val="00D14309"/>
    <w:rsid w:val="00D373DE"/>
    <w:rsid w:val="00D4736B"/>
    <w:rsid w:val="00D50DC6"/>
    <w:rsid w:val="00D604FA"/>
    <w:rsid w:val="00D613B0"/>
    <w:rsid w:val="00DB4C00"/>
    <w:rsid w:val="00DC365D"/>
    <w:rsid w:val="00E034B7"/>
    <w:rsid w:val="00E14ED8"/>
    <w:rsid w:val="00E268D0"/>
    <w:rsid w:val="00E82C17"/>
    <w:rsid w:val="00EB0D70"/>
    <w:rsid w:val="00EB5530"/>
    <w:rsid w:val="00EE4188"/>
    <w:rsid w:val="00EF271C"/>
    <w:rsid w:val="00F133E1"/>
    <w:rsid w:val="00F2333D"/>
    <w:rsid w:val="00F65EF8"/>
    <w:rsid w:val="00F85807"/>
    <w:rsid w:val="00FB6E31"/>
    <w:rsid w:val="00FF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7CE14"/>
  <w15:docId w15:val="{59FF7565-3EB3-48CD-BC4B-E69B8DE78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01E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D604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01E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7A1950"/>
    <w:pPr>
      <w:tabs>
        <w:tab w:val="left" w:pos="1701"/>
        <w:tab w:val="left" w:pos="1795"/>
      </w:tabs>
      <w:spacing w:after="0" w:line="240" w:lineRule="auto"/>
    </w:pPr>
    <w:rPr>
      <w:rFonts w:ascii="Arial" w:eastAsia="Times New Roman" w:hAnsi="Arial" w:cs="Arial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7A1950"/>
    <w:rPr>
      <w:rFonts w:ascii="Arial" w:eastAsia="Times New Roman" w:hAnsi="Arial" w:cs="Arial"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B56E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03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34B7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C723A8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C723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23A8"/>
  </w:style>
  <w:style w:type="paragraph" w:styleId="Rodap">
    <w:name w:val="footer"/>
    <w:basedOn w:val="Normal"/>
    <w:link w:val="RodapChar"/>
    <w:uiPriority w:val="99"/>
    <w:unhideWhenUsed/>
    <w:rsid w:val="00C723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723A8"/>
  </w:style>
  <w:style w:type="character" w:customStyle="1" w:styleId="Ttulo2Char">
    <w:name w:val="Título 2 Char"/>
    <w:basedOn w:val="Fontepargpadro"/>
    <w:link w:val="Ttulo2"/>
    <w:uiPriority w:val="9"/>
    <w:rsid w:val="00D604FA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unhideWhenUsed/>
    <w:rsid w:val="00D60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D604FA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801EF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01EF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SubtituloParecer">
    <w:name w:val="SubtituloParecer"/>
    <w:rsid w:val="00AD7811"/>
    <w:rPr>
      <w:rFonts w:ascii="Times New Roman" w:eastAsia="Times New Roman" w:hAnsi="Times New Roman"/>
      <w:b/>
      <w:sz w:val="24"/>
      <w:lang w:val="en-US"/>
    </w:rPr>
  </w:style>
  <w:style w:type="paragraph" w:customStyle="1" w:styleId="CorpoJustificado">
    <w:name w:val="CorpoJustificado"/>
    <w:rsid w:val="00AD7811"/>
    <w:rPr>
      <w:rFonts w:ascii="Times New Roman" w:eastAsia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459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8928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2797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8195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27904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544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6820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7194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45419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9699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7504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0682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9592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7457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0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1118</Words>
  <Characters>6041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Usuario</cp:lastModifiedBy>
  <cp:revision>2</cp:revision>
  <cp:lastPrinted>2025-07-03T14:37:00Z</cp:lastPrinted>
  <dcterms:created xsi:type="dcterms:W3CDTF">2026-04-15T12:35:00Z</dcterms:created>
  <dcterms:modified xsi:type="dcterms:W3CDTF">2026-04-15T12:35:00Z</dcterms:modified>
</cp:coreProperties>
</file>