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hanging="0"/>
        <w:jc w:val="center"/>
        <w:rPr>
          <w:b/>
          <w:b/>
          <w:sz w:val="24"/>
          <w:szCs w:val="24"/>
        </w:rPr>
      </w:pPr>
      <w:r>
        <w:rPr/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hanging="0"/>
        <w:jc w:val="center"/>
        <w:rPr>
          <w:b/>
          <w:b/>
          <w:sz w:val="24"/>
          <w:szCs w:val="24"/>
        </w:rPr>
      </w:pPr>
      <w:r>
        <w:rPr/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hanging="0"/>
        <w:jc w:val="center"/>
        <w:rPr>
          <w:b/>
          <w:b/>
          <w:sz w:val="24"/>
          <w:szCs w:val="24"/>
        </w:rPr>
      </w:pPr>
      <w:r>
        <w:rPr/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hanging="0"/>
        <w:jc w:val="center"/>
        <w:rPr>
          <w:b/>
          <w:b/>
          <w:sz w:val="24"/>
          <w:szCs w:val="24"/>
        </w:rPr>
      </w:pPr>
      <w:r>
        <w:rPr/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hanging="0"/>
        <w:jc w:val="center"/>
        <w:rPr>
          <w:b/>
          <w:b/>
          <w:sz w:val="24"/>
          <w:szCs w:val="24"/>
        </w:rPr>
      </w:pPr>
      <w:r>
        <w:rPr/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hanging="0"/>
        <w:jc w:val="center"/>
        <w:rPr/>
      </w:pPr>
      <w:r>
        <w:rPr>
          <w:b/>
          <w:sz w:val="24"/>
          <w:szCs w:val="24"/>
        </w:rPr>
        <w:t>PROJETO DE LEI Nº 041/2019</w:t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pacing w:lineRule="auto" w:line="360"/>
        <w:ind w:left="3828" w:hanging="0"/>
        <w:jc w:val="both"/>
        <w:rPr/>
      </w:pPr>
      <w:r>
        <w:rPr>
          <w:sz w:val="24"/>
          <w:szCs w:val="24"/>
        </w:rPr>
        <w:t>“</w:t>
      </w:r>
      <w:r>
        <w:rPr>
          <w:b/>
          <w:bCs/>
          <w:sz w:val="24"/>
          <w:szCs w:val="24"/>
        </w:rPr>
        <w:t>DISPÕE SOBRE OS PROCEDIMENTOS PARA A PARTICIPAÇÃO, A PROTEÇÃO E A DEFESA DOS DIREITOS DO USUÁRIO DE SERVIÇOS PÚBLICOS DO PODER EXECUTIVO, DE QUE TRATA A LEI N°13.460, DE 26 DE JUNHO DE 2017, E INSTITUI A OUVIDORIA DO PODER EXECUTIVO E O CONSELHO DE USUÁRIOS DE SERVIÇOS PÚBLICOS</w:t>
      </w:r>
      <w:r>
        <w:rPr>
          <w:sz w:val="24"/>
          <w:szCs w:val="24"/>
        </w:rPr>
        <w:t>.”</w:t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eastAsia="Calibri" w:cs="Liberation Serif;Times New Roman"/>
          <w:b/>
          <w:bCs/>
          <w:sz w:val="24"/>
          <w:szCs w:val="24"/>
        </w:rPr>
        <w:t xml:space="preserve">         </w:t>
      </w:r>
      <w:r>
        <w:rPr>
          <w:rFonts w:eastAsia="Calibri" w:cs="Liberation Serif;Times New Roman"/>
          <w:b/>
          <w:bCs/>
          <w:sz w:val="24"/>
          <w:szCs w:val="24"/>
        </w:rPr>
        <w:t>O VICE-PREFEITO, NO EXERCÍCIO DO CARGO DE PREFEITO DO MUNICÍPIO DE DOIS IRMÃOS</w:t>
      </w:r>
      <w:r>
        <w:rPr>
          <w:rFonts w:cs="Liberation Serif;Times New Roman"/>
          <w:b/>
          <w:sz w:val="24"/>
          <w:szCs w:val="24"/>
        </w:rPr>
        <w:t>,</w:t>
      </w:r>
      <w:r>
        <w:rPr>
          <w:rFonts w:cs="Liberation Serif;Times New Roman"/>
          <w:sz w:val="24"/>
          <w:szCs w:val="24"/>
        </w:rPr>
        <w:t xml:space="preserve"> faz saber que a Câmara Municipal aprovou e eu sanciono, com base no art. 82 VI da Lei Orgânica Municipal, a seguinte:</w:t>
      </w:r>
    </w:p>
    <w:p>
      <w:pPr>
        <w:pStyle w:val="Normal"/>
        <w:keepNext w:val="true"/>
        <w:numPr>
          <w:ilvl w:val="0"/>
          <w:numId w:val="0"/>
        </w:numPr>
        <w:spacing w:lineRule="auto" w:line="36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left="0" w:right="0" w:hanging="0"/>
        <w:jc w:val="center"/>
        <w:rPr>
          <w:rFonts w:ascii="Arial" w:hAnsi="Arial" w:cs="Liberation Serif;Times New Roman"/>
          <w:b/>
          <w:b/>
          <w:bCs/>
          <w:sz w:val="24"/>
          <w:szCs w:val="24"/>
        </w:rPr>
      </w:pPr>
      <w:r>
        <w:rPr>
          <w:rFonts w:cs="Liberation Serif;Times New Roman"/>
          <w:b/>
          <w:bCs/>
          <w:sz w:val="24"/>
          <w:szCs w:val="24"/>
        </w:rPr>
        <w:t>L E I</w:t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b/>
          <w:b/>
          <w:bCs/>
        </w:rPr>
      </w:pPr>
      <w:r>
        <w:rPr>
          <w:b/>
          <w:bCs/>
          <w:sz w:val="24"/>
          <w:szCs w:val="24"/>
        </w:rPr>
        <w:t>CAPÍTULO I</w:t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DISPOSIÇÕES GERAIS</w:t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1º</w:t>
      </w:r>
      <w:r>
        <w:rPr>
          <w:sz w:val="24"/>
          <w:szCs w:val="24"/>
        </w:rPr>
        <w:t xml:space="preserve"> </w:t>
      </w:r>
      <w:bookmarkStart w:id="0" w:name="_Hlk5650082"/>
      <w:r>
        <w:rPr>
          <w:sz w:val="24"/>
          <w:szCs w:val="24"/>
        </w:rPr>
        <w:t>Esta Lei estabelece os procedimentos para a participação, a proteção e a defesa dos direitos do usuário de serviços públicos do Poder Executivo, de que trata a Lei nº 13.460, de 26 de junho de 2017, e institui a Ouvidoria do Poder Executivo e o Conselho de Usuários de Serviços Públicos.</w:t>
      </w:r>
      <w:bookmarkEnd w:id="0"/>
      <w:r>
        <w:rPr>
          <w:sz w:val="24"/>
          <w:szCs w:val="24"/>
        </w:rPr>
        <w:t xml:space="preserve"> </w:t>
      </w:r>
    </w:p>
    <w:p>
      <w:pPr>
        <w:pStyle w:val="Cabealho"/>
        <w:tabs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2º</w:t>
      </w:r>
      <w:r>
        <w:rPr>
          <w:sz w:val="24"/>
          <w:szCs w:val="24"/>
        </w:rPr>
        <w:t xml:space="preserve"> Para os efeitos desta Lei, considera-se:</w:t>
      </w:r>
    </w:p>
    <w:p>
      <w:pPr>
        <w:sectPr>
          <w:type w:val="nextPage"/>
          <w:pgSz w:w="11906" w:h="16838"/>
          <w:pgMar w:left="1701" w:right="1134" w:header="0" w:top="1418" w:footer="0" w:bottom="1418" w:gutter="0"/>
          <w:pgNumType w:fmt="decimal"/>
          <w:formProt w:val="false"/>
          <w:textDirection w:val="lrTb"/>
          <w:docGrid w:type="default" w:linePitch="100" w:charSpace="0"/>
        </w:sect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I - usuário: pessoa física ou jurídica que se beneficia ou utiliza, efetiva ou potencialmente, de serviço público;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II - serviço público: atividade administrativa ou de prestação direta ou indireta de bens ou serviços à população, exercida por órgão ou entidade da administração pública;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III - agente público: quem exerce cargo, emprego ou função pública, ainda que transitoriamente ou sem remuneração;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IV - manifestações: </w:t>
      </w:r>
      <w:bookmarkStart w:id="1" w:name="_Hlk520747206"/>
      <w:r>
        <w:rPr>
          <w:sz w:val="24"/>
          <w:szCs w:val="24"/>
        </w:rPr>
        <w:t xml:space="preserve">reclamações, denúncias, sugestões, elogios e solicitações </w:t>
      </w:r>
      <w:bookmarkEnd w:id="1"/>
      <w:r>
        <w:rPr>
          <w:sz w:val="24"/>
          <w:szCs w:val="24"/>
        </w:rPr>
        <w:t>que tenham como objeto políticas ou serviços públicos prestados e a conduta de agentes públicos na prestação e fiscalização de tais serviços;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V - reclamação: demonstração de insatisfação relativa a serviço público;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VI - denúncia: comunicação de prática de irregularidade ou ato ilícito cuja solução dependa da atuação dos órgãos apuratórios competentes;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VII - sugestão: proposição de ideia ou formulação de proposta de aprimoramento de políticas e serviços prestados pelo Município;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VIII - elogio: demonstração, reconhecimento ou satisfação sobre o serviço oferecido ou atendimento recebido;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IX - solicitação: requerimento de adoção de providência por parte da Administração.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CAPÍTULO II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DA OUVIDORIA DO PODER EXECUTIVO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3</w:t>
      </w:r>
      <w:r>
        <w:rPr>
          <w:sz w:val="24"/>
          <w:szCs w:val="24"/>
        </w:rPr>
        <w:t>º É criada a Ouvidoria do Poder Executivo, vinculada ao Gabinete do Prefeito Municipal, como órgão responsável, prioritariamente, pelo tratamento das manifestações relativas às políticas e aos serviços públicos prestados, sob qualquer forma ou regime, pelos órgãos e pelas entidades do Poder Executivo, com vistas à avaliação da efetividade e ao aprimoramento da gestão pública.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4º</w:t>
      </w:r>
      <w:r>
        <w:rPr>
          <w:sz w:val="24"/>
          <w:szCs w:val="24"/>
        </w:rPr>
        <w:t xml:space="preserve"> Podem ser instituídas, por meio de ato regulamentar, unidades setoriais de ouvidorias nos órgãos ou entidades do Poder Executivo, ou designado servidor responsável pelas atividades de ouvidoria.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b/>
          <w:b/>
          <w:bCs/>
        </w:rPr>
      </w:pPr>
      <w:r>
        <w:rPr>
          <w:b/>
          <w:bCs/>
          <w:sz w:val="24"/>
          <w:szCs w:val="24"/>
        </w:rPr>
        <w:t>Seção I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Das Atribuições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 xml:space="preserve">Art. 5º </w:t>
      </w:r>
      <w:r>
        <w:rPr>
          <w:sz w:val="24"/>
          <w:szCs w:val="24"/>
        </w:rPr>
        <w:t>São atribuições da Ouvidoria: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– atuar diretamente na defesa dos direitos dos usuários de serviços públicos, nos termos da Lei nº 13.460, de 2017;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 - promover a participação do usuário na administração pública, em cooperação com outras entidades de defesa do usuário;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III - acompanhar a prestação dos serviços públicos, visando a garantir a sua efetividade e propor medidas para o seu aperfeiçoamento;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IV - receber, analisar e responder às manifestações a ela encaminhadas;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V - encaminhar às autoridades competentes as manifestações, solicitar informações a respeito das mesmas, acompanhando o tratamento e a sua efetiva conclusão;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VI – atender o usuário de forma adequada, observados os princípios da regularidade, continuidade, efetividade, segurança, atualidade, generalidade, transparência e cortesia;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VII - promover a adoção de mediação e conciliação entre o usuário e o órgão ou a entidade pública, sem prejuízo de outros órgãos competentes.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6º</w:t>
      </w:r>
      <w:r>
        <w:rPr>
          <w:sz w:val="24"/>
          <w:szCs w:val="24"/>
        </w:rPr>
        <w:t xml:space="preserve"> Compete à Ouvidoria do Poder Executivo: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 - formular e expedir atos normativos, diretrizes e orientações relativas ao correto exercício das atribuições definidas nos Capítulos III, IV e VI da Lei Federal nº 13.460, de 2017;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II - monitorar a atuação das unidades setoriais, se criadas, e dos responsáveis por ações de ouvidoria dos órgãos e entidades prestadores de serviços públicos,  quanto ao tratamento das manifestações recebidas;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III - promover políticas de capacitação e treinamento relacionadas às atividades dos responsáveis por ações de ouvidoria e defesa do usuário de serviços públicos;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IV - sistematizar as informações disponibilizadas pelas unidades setoriais de ouvidoria, consolidar e divulgar estatísticas, inclusive aquelas indicativas do nível de satisfação dos usuários com os serviços públicos prestados;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V - propor e monitorar a adoção de medidas para a prevenção e a correção de falhas e omissões na prestação de serviços públicos.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Art. 7º</w:t>
      </w:r>
      <w:r>
        <w:rPr>
          <w:sz w:val="24"/>
          <w:szCs w:val="24"/>
        </w:rPr>
        <w:t xml:space="preserve"> Com vistas à realização dos seus objetivos, a ouvidoria deve: 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- receber, analisar e responder, por meio de mecanismos proativos e reativos, as manifestações encaminhadas por usuários de serviços públicos;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II - elaborar, anualmente, relatório de gestão, que deverá consolidar as informações mencionadas no inciso I, e, com base nelas, apontar falhas e sugerir melhorias na prestação de serviços públicos.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b/>
          <w:b/>
          <w:bCs/>
        </w:rPr>
      </w:pPr>
      <w:r>
        <w:rPr>
          <w:b/>
          <w:bCs/>
          <w:sz w:val="24"/>
          <w:szCs w:val="24"/>
        </w:rPr>
        <w:t>Seção II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Das Manifestações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 xml:space="preserve">Art. 8º </w:t>
      </w:r>
      <w:r>
        <w:rPr>
          <w:sz w:val="24"/>
          <w:szCs w:val="24"/>
        </w:rPr>
        <w:t xml:space="preserve">A Ouvidoria deverá receber, analisar e responder às manifestações em linguagem clara e objetiva.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Art. 9º</w:t>
      </w:r>
      <w:r>
        <w:rPr>
          <w:sz w:val="24"/>
          <w:szCs w:val="24"/>
        </w:rPr>
        <w:t xml:space="preserve"> Em nenhuma hipótese será recusado o recebimento de manifestações formuladas nos termos desta Lei sob pena de responsabilidade do agente público.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§ 1º As manifestações serão identificadas, entretanto não cabe à Ouvidoria fazer exigências quanto à identificação que inviabilizem sua apresentação.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§ 2º São vedadas quaisquer exigências relativas aos motivos determinantes da apresentação da manifestação.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§ 3º A identificação do requerente é informação pessoal protegida com restrição de acesso nos termos da Lei nº 12.527, de 18 de novembro de 2011.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§ 4º No caso de manifestação feita por meio eletrônico, respeitada a legislação específica de sigilo e proteção de dados, poderá ser requerido meio de certificação da identidade do requerente.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§ 5º A manifestação sobre matéria alheia à competência do órgão ou entidade em que foi apresentada, deve ser protocolizada e encaminhada imediatamente à Ouvidoria do Poder Executivo para que faça o encaminhamento adequado.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Art. 10</w:t>
      </w:r>
      <w:r>
        <w:rPr>
          <w:sz w:val="24"/>
          <w:szCs w:val="24"/>
        </w:rPr>
        <w:t>. As manifestações poderão ser apresentadas por meio dos seguintes canais de comunicação: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I – por meio de formulário eletrônico, disponível no sítio do Município;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II – por correspondência convencional;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III – no protocolo da Prefeitura;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b/>
          <w:b/>
          <w:bCs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Parágrafo único.</w:t>
      </w:r>
      <w:r>
        <w:rPr>
          <w:sz w:val="24"/>
          <w:szCs w:val="24"/>
        </w:rPr>
        <w:t xml:space="preserve"> A manifestação feita verbalmente será, imediatamente, reduzida a termo.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Art. 11.</w:t>
      </w:r>
      <w:r>
        <w:rPr>
          <w:sz w:val="24"/>
          <w:szCs w:val="24"/>
        </w:rPr>
        <w:t xml:space="preserve"> Recebida a manifestação a Ouvidoria deverá classificá-la como reclamação, denúncia, sugestão, elogio e solicitação, de acordo com as definições constantes nesta Lei.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§ 1º A classificação atribuída pelo usuário quando do encaminhamento da manifestação poderá ser alterada pela Ouvidoria se verificado que não está adequada.</w:t>
      </w:r>
      <w:bookmarkStart w:id="2" w:name="art12"/>
      <w:bookmarkEnd w:id="2"/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§ 2º As manifestações serão encaminhadas às autoridades responsáveis para as devidas providências, se for o caso.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12.</w:t>
      </w:r>
      <w:r>
        <w:rPr>
          <w:sz w:val="24"/>
          <w:szCs w:val="24"/>
        </w:rPr>
        <w:t xml:space="preserve"> O procedimento de análise das manifestações observará os princípios da eficiência e da celeridade, visando a sua efetiva resolução.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b/>
          <w:b/>
          <w:bCs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Parágrafo único</w:t>
      </w:r>
      <w:r>
        <w:rPr>
          <w:sz w:val="24"/>
          <w:szCs w:val="24"/>
        </w:rPr>
        <w:t>. A efetiva resolução das manifestações dos usuários compreende as seguintes etapas: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I - recepção da manifestação no canal de atendimento adequado;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II - emissão de comprovante de recebimento da manifestação com o respectivo número de protocolo;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III - análise e obtenção de informações, quando necessário;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IV - decisão administrativa final;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V - ciência ao usuário.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Art. 13</w:t>
      </w:r>
      <w:r>
        <w:rPr>
          <w:sz w:val="24"/>
          <w:szCs w:val="24"/>
        </w:rPr>
        <w:t xml:space="preserve">. A Ouvidoria deverá elaborar e apresentar resposta conclusiva às manifestações recebidas no prazo de até trinta dias contados do recebimento, prorrogável de forma justificada, uma única vez, por igual período.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§ 1º Recebida a manifestação, a Ouvidoria deverá realizar análise prévia e, caso necessário, no prazo máximo de cinco dias, encaminhá-la às áreas responsáveis para providências.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§ 2º Sempre que as informações apresentadas pelo usuário forem insuficientes para a análise da manifestação, em até dez dias a contar do seu recebimento a Ouvidoria deverá solicitar a complementação de informações que deverá ser atendida em até vinte dias, sob pena de arquivamento da manifestação.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§ 3º O pedido de complementação de informações interrompe uma única vez o prazo previsto no caput deste artigo, que passará a contar novamente a partir da resposta do usuário, sem prejuízo de complementações supervenientes.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>§ 4º A Ouvidoria poderá solicitar informações e esclarecimentos diretamente aos agentes públicos do órgão ou entidade a que se vincula, e as solicitações devem ser respondidas no prazo de vinte dias, prorrogável de forma justificada uma única vez, por igual período.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Art. 14</w:t>
      </w:r>
      <w:r>
        <w:rPr>
          <w:sz w:val="24"/>
          <w:szCs w:val="24"/>
        </w:rPr>
        <w:t>. Quando a manifestação for denúncia, desde que contenha elementos mínimos de autoria e materialidade, deverá ser encaminhada para o órgão competente para as devidas providências.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§ 1º Esgotado o prazo de que trata essa Lei sem a conclusão do procedimento de apuração da denúncia pelo órgão competente, considera-se como conclusiva a comunicação com o encaminhamento ao órgão competente.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sz w:val="24"/>
          <w:szCs w:val="24"/>
        </w:rPr>
        <w:t xml:space="preserve">§ 2º O órgão competente encaminhará à Ouvidoria do Poder Executivo o resultado final do procedimento de apuração da denúncia que deverá dar conhecimento ao usuário acerca dos desdobramentos da sua manifestação. 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Seção III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Do Relatório de Gestão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15.</w:t>
      </w:r>
      <w:r>
        <w:rPr>
          <w:sz w:val="24"/>
          <w:szCs w:val="24"/>
        </w:rPr>
        <w:t xml:space="preserve"> A Ouvidoria do Poder Executivo deverá elaborar, anualmente, no mês </w:t>
      </w:r>
      <w:r>
        <w:rPr>
          <w:sz w:val="24"/>
          <w:szCs w:val="24"/>
        </w:rPr>
        <w:t>de dezembro,</w:t>
      </w:r>
      <w:r>
        <w:rPr>
          <w:sz w:val="24"/>
          <w:szCs w:val="24"/>
        </w:rPr>
        <w:t xml:space="preserve"> relatório de gestão que irá consolidar as informações referentes ao recebimento, análise e resposta às manifestações recebidas e, com base nelas, apontará as falhas e sugerirá melhorias na prestação dos serviços públicos e, posteriormente, será encaminhado ao Prefeito Municipal.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b/>
          <w:b/>
          <w:bCs/>
          <w:sz w:val="16"/>
          <w:szCs w:val="16"/>
        </w:rPr>
      </w:pPr>
      <w:r>
        <w:rPr>
          <w:b/>
          <w:bCs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Art. 16. </w:t>
      </w:r>
      <w:r>
        <w:rPr>
          <w:sz w:val="24"/>
          <w:szCs w:val="24"/>
        </w:rPr>
        <w:t>O relatório de gestão deverá indicar, ao menos: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 – o número de manifestações recebidas no ano anterior;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II – os motivos das manifestações;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III – a análise dos pontos recorrentes;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IV – as providências adotadas pela administração pública nas soluções apresentadas.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Seção IV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b/>
          <w:b/>
          <w:bCs/>
        </w:rPr>
      </w:pPr>
      <w:r>
        <w:rPr>
          <w:b/>
          <w:bCs/>
          <w:sz w:val="24"/>
          <w:szCs w:val="24"/>
        </w:rPr>
        <w:t>Da Organização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18</w:t>
      </w:r>
      <w:r>
        <w:rPr>
          <w:sz w:val="24"/>
          <w:szCs w:val="24"/>
        </w:rPr>
        <w:t>. A Ouvidoria será composta por 01 (um) Ouvidor recrutado no quadro de pessoal do Poder Executivo e designado pelo Prefeito.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Parágrafo único</w:t>
      </w:r>
      <w:r>
        <w:rPr>
          <w:sz w:val="24"/>
          <w:szCs w:val="24"/>
        </w:rPr>
        <w:t xml:space="preserve">. Quando o servidor escolhido para atuar como Ouvidor do Poder Executivo for servidor efetivo, perceberá uma gratificação de função no valor </w:t>
      </w:r>
      <w:r>
        <w:rPr>
          <w:sz w:val="24"/>
          <w:szCs w:val="24"/>
        </w:rPr>
        <w:t>mensal de R$ 547,75 (quinhentos e quarenta e sete reais com setenta e cinco centavos).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/>
      </w:pPr>
      <w:r>
        <w:rPr>
          <w:b/>
          <w:bCs/>
          <w:color w:val="000000" w:themeColor="text1"/>
          <w:sz w:val="24"/>
          <w:szCs w:val="24"/>
        </w:rPr>
        <w:t>CAPÍTULO III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DA CARTA DE SERVIÇOS AO USUÁRIO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color w:val="000000" w:themeColor="text1"/>
          <w:sz w:val="24"/>
          <w:szCs w:val="24"/>
        </w:rPr>
        <w:t>Art. 20</w:t>
      </w:r>
      <w:r>
        <w:rPr>
          <w:color w:val="000000" w:themeColor="text1"/>
          <w:sz w:val="24"/>
          <w:szCs w:val="24"/>
        </w:rPr>
        <w:t xml:space="preserve">. Os órgãos e entidades abrangidos por esta Lei divulgarão Carta de Serviços ao Usuário com o objetivo de informar o usuário sobre os serviços prestados, as formas de acesso a esses serviços e seus compromissos e padrões de qualidade de atendimento ao público.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Art. 21</w:t>
      </w:r>
      <w:r>
        <w:rPr>
          <w:color w:val="000000" w:themeColor="text1"/>
          <w:sz w:val="24"/>
          <w:szCs w:val="24"/>
        </w:rPr>
        <w:t xml:space="preserve">. A Carta de Serviços ao Usuário especificará, com relação a cada um dos serviços prestados, informações claras e precisas relacionadas a: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2"/>
          <w:szCs w:val="12"/>
        </w:rPr>
      </w:pPr>
      <w:r>
        <w:rPr>
          <w:color w:val="000000" w:themeColor="text1"/>
          <w:sz w:val="12"/>
          <w:szCs w:val="12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 - serviços oferecidos;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II - requisitos, documentos, formas e informações necessárias para acessar o serviço;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III - principais etapas para processamento do serviço;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IV - previsão do prazo máximo para a prestação do serviço;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V - forma de prestação do serviço;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VI - locais e formas para o usuário apresentar eventual manifestação sobre a prestação do serviço.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b/>
          <w:b/>
          <w:bCs/>
          <w:color w:val="000000" w:themeColor="text1"/>
          <w:sz w:val="16"/>
          <w:szCs w:val="16"/>
        </w:rPr>
      </w:pPr>
      <w:r>
        <w:rPr>
          <w:b/>
          <w:bCs/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Parágrafo único. </w:t>
      </w:r>
      <w:r>
        <w:rPr>
          <w:color w:val="000000" w:themeColor="text1"/>
          <w:sz w:val="24"/>
          <w:szCs w:val="24"/>
        </w:rPr>
        <w:t xml:space="preserve">A Carta de Serviços ao Usuário deverá detalhar, também, os compromissos e padrões de qualidade do atendimento relativos, no mínimo, aos seguintes aspectos: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 - prioridades de atendimento;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II - previsão de tempo de espera para atendimento;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III - mecanismos de comunicação com os usuários;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IV - procedimentos para receber e responder as manifestações dos usuários;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V - mecanismos de consulta, por parte dos usuários, acerca do andamento do serviço solicitado e de eventual manifestação.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Art. 22</w:t>
      </w:r>
      <w:r>
        <w:rPr>
          <w:color w:val="000000" w:themeColor="text1"/>
          <w:sz w:val="24"/>
          <w:szCs w:val="24"/>
        </w:rPr>
        <w:t>. A Carta de Serviços ao Usuário deverá ser atualizada pelo órgão ou entidade responsável pela prestação do serviço público anualmente ou sempre que houver alteração com relação ao serviço.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color w:val="000000" w:themeColor="text1"/>
          <w:sz w:val="24"/>
          <w:szCs w:val="24"/>
        </w:rPr>
        <w:t>Art. 23.</w:t>
      </w:r>
      <w:r>
        <w:rPr>
          <w:color w:val="000000" w:themeColor="text1"/>
          <w:sz w:val="24"/>
          <w:szCs w:val="24"/>
        </w:rPr>
        <w:t xml:space="preserve"> A Carta de Serviços ao Usuário ficará disponível no sítio eletrônico do órgão ou entidade na internet.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CAPÍTULO IV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DA AVALIAÇÃO DOS SERVIÇOS PÚBLICOS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color w:val="000000" w:themeColor="text1"/>
          <w:sz w:val="24"/>
          <w:szCs w:val="24"/>
        </w:rPr>
        <w:t>Art. 24</w:t>
      </w:r>
      <w:r>
        <w:rPr>
          <w:color w:val="000000" w:themeColor="text1"/>
          <w:sz w:val="24"/>
          <w:szCs w:val="24"/>
        </w:rPr>
        <w:t>. Os órgãos e entidades abrangidos por esta Lei avaliarão, com periodicidade mínima anual, os serviços prestados, nos seguintes aspectos: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4"/>
          <w:szCs w:val="14"/>
        </w:rPr>
      </w:pPr>
      <w:r>
        <w:rPr>
          <w:color w:val="000000" w:themeColor="text1"/>
          <w:sz w:val="14"/>
          <w:szCs w:val="14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I – satisfação do usuário com o serviço prestado;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II – qualidade do atendimento prestado ao usuário;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III – cumprimento dos compromissos e prazos definidos para a prestação dos serviços;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IV – quantidade de manifestações de usuários;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V – medidas adotadas pela administração pública para melhoria e aperfeiçoamento da prestação do serviço.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Art. 25</w:t>
      </w:r>
      <w:r>
        <w:rPr>
          <w:color w:val="000000" w:themeColor="text1"/>
          <w:sz w:val="24"/>
          <w:szCs w:val="24"/>
        </w:rPr>
        <w:t xml:space="preserve">. A avaliação será feita por meio de pesquisa de satisfação e os resultados estatísticos serão disponibilizados no sítio eletrônico do órgão ou entidade na internet, incluindo o </w:t>
      </w:r>
      <w:r>
        <w:rPr>
          <w:i/>
          <w:color w:val="000000" w:themeColor="text1"/>
          <w:sz w:val="24"/>
          <w:szCs w:val="24"/>
        </w:rPr>
        <w:t>ranking</w:t>
      </w:r>
      <w:r>
        <w:rPr>
          <w:color w:val="000000" w:themeColor="text1"/>
          <w:sz w:val="24"/>
          <w:szCs w:val="24"/>
        </w:rPr>
        <w:t xml:space="preserve"> daqueles com maior incidência de reclamação dos usuários.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b/>
          <w:b/>
          <w:bCs/>
          <w:color w:val="000000" w:themeColor="text1"/>
          <w:sz w:val="16"/>
          <w:szCs w:val="16"/>
        </w:rPr>
      </w:pPr>
      <w:r>
        <w:rPr>
          <w:b/>
          <w:bCs/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Parágrafo único</w:t>
      </w:r>
      <w:r>
        <w:rPr>
          <w:color w:val="000000" w:themeColor="text1"/>
          <w:sz w:val="24"/>
          <w:szCs w:val="24"/>
        </w:rPr>
        <w:t>. O resultado da avaliação servirá de subsídio para reorientar e ajustar os serviços prestados, em especial quanto ao cumprimento dos compromissos e dos padrões de qualidade de atendimento divulgados na Carta de Serviços ao Usuário.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CAPÍTULO V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/>
      </w:pPr>
      <w:r>
        <w:rPr>
          <w:b/>
          <w:bCs/>
          <w:color w:val="000000" w:themeColor="text1"/>
          <w:sz w:val="24"/>
          <w:szCs w:val="24"/>
        </w:rPr>
        <w:t>DO CONSELHO DE USUÁRIOS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color w:val="000000" w:themeColor="text1"/>
          <w:sz w:val="24"/>
          <w:szCs w:val="24"/>
        </w:rPr>
        <w:t>Art. 26</w:t>
      </w:r>
      <w:r>
        <w:rPr>
          <w:color w:val="000000" w:themeColor="text1"/>
          <w:sz w:val="24"/>
          <w:szCs w:val="24"/>
        </w:rPr>
        <w:t>. É criado o Conselho de Usuários dos Serviços Públicos como órgão consultivo, vinculado à</w:t>
      </w:r>
      <w:r>
        <w:rPr>
          <w:color w:val="CE181E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Secretaria Municipal de Administração</w:t>
      </w:r>
      <w:r>
        <w:rPr>
          <w:color w:val="000000" w:themeColor="text1"/>
          <w:sz w:val="24"/>
          <w:szCs w:val="24"/>
        </w:rPr>
        <w:t>, com a finalidade de aprimorar a participação dos usuários no acompanhamento da prestação e na avaliação dos serviços públicos.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Art. 27.</w:t>
      </w:r>
      <w:r>
        <w:rPr>
          <w:color w:val="000000" w:themeColor="text1"/>
          <w:sz w:val="24"/>
          <w:szCs w:val="24"/>
        </w:rPr>
        <w:t xml:space="preserve"> São atribuições do Conselho de Usuários dos Serviços Públicos: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 - acompanhar a prestação dos serviços;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II - participar na avaliação dos serviços;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III - propor melhorias na prestação dos serviços;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IV - contribuir na definição de diretrizes para o adequado atendimento ao usuário;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V - acompanhar e avaliar a atuação do ouvidor;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VI – opinar sobre a indicação do Ouvidor, quando solicitado;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VII - manifestar-se quanto às consultas que lhe forem submetidas;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VIII – redigir a carta de serviços ao usuário.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color w:val="000000" w:themeColor="text1"/>
          <w:sz w:val="24"/>
          <w:szCs w:val="24"/>
        </w:rPr>
        <w:t>Art. 28</w:t>
      </w:r>
      <w:r>
        <w:rPr>
          <w:color w:val="000000" w:themeColor="text1"/>
          <w:sz w:val="24"/>
          <w:szCs w:val="24"/>
        </w:rPr>
        <w:t xml:space="preserve">. O Conselho de Usuários dos Serviços Públicos, observados os critérios de representatividade e pluralidade das partes interessadas, será composto por 04 </w:t>
      </w:r>
      <w:r>
        <w:rPr>
          <w:color w:val="000000" w:themeColor="text1"/>
          <w:sz w:val="24"/>
          <w:szCs w:val="24"/>
        </w:rPr>
        <w:t>(</w:t>
      </w:r>
      <w:r>
        <w:rPr>
          <w:color w:val="000000" w:themeColor="text1"/>
          <w:sz w:val="24"/>
          <w:szCs w:val="24"/>
        </w:rPr>
        <w:t>quatro</w:t>
      </w:r>
      <w:r>
        <w:rPr>
          <w:color w:val="000000" w:themeColor="text1"/>
          <w:sz w:val="24"/>
          <w:szCs w:val="24"/>
        </w:rPr>
        <w:t>)</w:t>
      </w:r>
      <w:r>
        <w:rPr>
          <w:color w:val="000000" w:themeColor="text1"/>
          <w:sz w:val="24"/>
          <w:szCs w:val="24"/>
        </w:rPr>
        <w:t xml:space="preserve"> membros, sendo: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4"/>
          <w:szCs w:val="14"/>
        </w:rPr>
      </w:pPr>
      <w:r>
        <w:rPr>
          <w:color w:val="000000" w:themeColor="text1"/>
          <w:sz w:val="14"/>
          <w:szCs w:val="14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I – 02 (dois) representantes dos usuários de serviços públicos;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II - 02 (dois) representantes do Poder Executivo, sendo: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a) 01 (um) Ouvidor do Poder Executivo;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b) 01 (um) membro da Secretaria Municipal de Administração;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</w:rPr>
      </w:pPr>
      <w:r>
        <w:rPr>
          <w:color w:val="000000" w:themeColor="text1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§</w:t>
      </w:r>
      <w:r>
        <w:rPr>
          <w:color w:val="auto"/>
          <w:sz w:val="24"/>
          <w:szCs w:val="24"/>
        </w:rPr>
        <w:t xml:space="preserve"> 1º O representante da Secretaria Municipal de Administração será indicado pelo Secretário </w:t>
      </w:r>
      <w:r>
        <w:rPr>
          <w:color w:val="auto"/>
          <w:sz w:val="24"/>
          <w:szCs w:val="24"/>
        </w:rPr>
        <w:t xml:space="preserve">da respectiva pasta </w:t>
      </w:r>
      <w:r>
        <w:rPr>
          <w:color w:val="auto"/>
          <w:sz w:val="24"/>
          <w:szCs w:val="24"/>
        </w:rPr>
        <w:t>e, do Poder Executivo, serão indicados pelo Prefeito.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4"/>
          <w:szCs w:val="14"/>
        </w:rPr>
      </w:pPr>
      <w:r>
        <w:rPr>
          <w:color w:val="000000" w:themeColor="text1"/>
          <w:sz w:val="14"/>
          <w:szCs w:val="14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color w:val="000000" w:themeColor="text1"/>
          <w:sz w:val="24"/>
          <w:szCs w:val="24"/>
        </w:rPr>
        <w:t>§ 2º A escolha dos representantes dos usuários dos serviços públicos será feita em processo aberto ao público, mediante chamamento oficial a ser publicado no endereço eletrônico do Poder Executivo e em outros espaços públicos a fim de conferir ampla divulgação, com antecedência mínima de 30 (trinta) dias e ampla divulgação.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Art. 29.</w:t>
      </w:r>
      <w:r>
        <w:rPr>
          <w:color w:val="000000" w:themeColor="text1"/>
          <w:sz w:val="24"/>
          <w:szCs w:val="24"/>
        </w:rPr>
        <w:t xml:space="preserve"> O mandato de conselheiro será de 2 (dois) anos, permitida uma recondução.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Art. 30.</w:t>
      </w:r>
      <w:r>
        <w:rPr>
          <w:color w:val="000000" w:themeColor="text1"/>
          <w:sz w:val="24"/>
          <w:szCs w:val="24"/>
        </w:rPr>
        <w:t xml:space="preserve"> O desempenho da função de membro do Conselho de Usuários de Serviços Públicos será gratuito e considerado de relevância para o Município.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Art. 31.</w:t>
      </w:r>
      <w:r>
        <w:rPr>
          <w:color w:val="000000" w:themeColor="text1"/>
          <w:sz w:val="24"/>
          <w:szCs w:val="24"/>
        </w:rPr>
        <w:t xml:space="preserve"> O Conselho de Usuários de Serviços Públicos elaborará seu regimento interno no prazo de 30 (trinta) dias contados da sua constituição, que deverá ser submetido ao Prefeito Municipal para aprovação.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color w:val="4472C4" w:themeColor="accent1"/>
        </w:rPr>
      </w:pPr>
      <w:r>
        <w:rPr>
          <w:color w:val="4472C4" w:themeColor="accent1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CAPÍTULO VI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DISPOSIÇÕES FINAIS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32</w:t>
      </w:r>
      <w:r>
        <w:rPr>
          <w:sz w:val="24"/>
          <w:szCs w:val="24"/>
        </w:rPr>
        <w:t>. As autoridades ou servidores dos órgãos e entidades abrangidos por esta Lei prestarão colaboração e informações à Ouvidoria do Poder Executivo nos assuntos que lhe forem pertinentes, submetidos a sua apreciação.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Art. 33</w:t>
      </w:r>
      <w:r>
        <w:rPr>
          <w:sz w:val="24"/>
          <w:szCs w:val="24"/>
        </w:rPr>
        <w:t>. Esta Lei será regulamentada no que couber.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Art. 34. </w:t>
      </w:r>
      <w:r>
        <w:rPr>
          <w:sz w:val="24"/>
          <w:szCs w:val="24"/>
        </w:rPr>
        <w:t>As despesas decorrentes desta Lei serão suportadas por dotações orçamentárias próprias.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/>
      </w:pPr>
      <w:r>
        <w:rPr>
          <w:b/>
          <w:bCs/>
          <w:sz w:val="24"/>
          <w:szCs w:val="24"/>
        </w:rPr>
        <w:t>Art. 35.</w:t>
      </w:r>
      <w:r>
        <w:rPr>
          <w:sz w:val="24"/>
          <w:szCs w:val="24"/>
        </w:rPr>
        <w:t xml:space="preserve"> Esta Lei entra em vigor na data de sua publicação.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336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sz w:val="24"/>
          <w:szCs w:val="24"/>
        </w:rPr>
        <w:t xml:space="preserve">         </w:t>
      </w:r>
      <w:r>
        <w:rPr>
          <w:rFonts w:eastAsia="Liberation Serif;Times New Roman" w:cs="Liberation Serif;Times New Roman"/>
          <w:sz w:val="24"/>
          <w:szCs w:val="24"/>
        </w:rPr>
        <w:t xml:space="preserve"> </w:t>
      </w:r>
      <w:r>
        <w:rPr>
          <w:rFonts w:cs="Liberation Serif;Times New Roman"/>
          <w:b/>
          <w:bCs/>
          <w:sz w:val="24"/>
          <w:szCs w:val="24"/>
        </w:rPr>
        <w:t>DOIS IRMÃOS, RS, 24 DE JUNHO DE 2019.</w:t>
      </w:r>
    </w:p>
    <w:tbl>
      <w:tblPr>
        <w:tblW w:w="13634" w:type="dxa"/>
        <w:jc w:val="left"/>
        <w:tblInd w:w="-70" w:type="dxa"/>
        <w:tblBorders/>
        <w:tblCellMar>
          <w:top w:w="0" w:type="dxa"/>
          <w:left w:w="70" w:type="dxa"/>
          <w:bottom w:w="0" w:type="dxa"/>
          <w:right w:w="70" w:type="dxa"/>
        </w:tblCellMar>
      </w:tblPr>
      <w:tblGrid>
        <w:gridCol w:w="3734"/>
        <w:gridCol w:w="6585"/>
        <w:gridCol w:w="3315"/>
      </w:tblGrid>
      <w:tr>
        <w:trPr/>
        <w:tc>
          <w:tcPr>
            <w:tcW w:w="3734" w:type="dxa"/>
            <w:tcBorders/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Arial" w:hAnsi="Arial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/>
                <w:b/>
                <w:bCs/>
                <w:sz w:val="24"/>
                <w:szCs w:val="24"/>
              </w:rPr>
            </w:r>
          </w:p>
        </w:tc>
        <w:tc>
          <w:tcPr>
            <w:tcW w:w="6585" w:type="dxa"/>
            <w:tcBorders/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Arial" w:hAnsi="Arial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/>
                <w:b/>
                <w:bCs/>
                <w:sz w:val="24"/>
                <w:szCs w:val="24"/>
              </w:rPr>
            </w:r>
          </w:p>
          <w:p>
            <w:pPr>
              <w:pStyle w:val="Normal"/>
              <w:snapToGrid w:val="false"/>
              <w:spacing w:lineRule="auto" w:line="360"/>
              <w:jc w:val="center"/>
              <w:rPr>
                <w:rFonts w:ascii="Arial" w:hAnsi="Arial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/>
                <w:b/>
                <w:bCs/>
                <w:sz w:val="24"/>
                <w:szCs w:val="24"/>
              </w:rPr>
              <w:t>JERRI ADRIANI MENEGHETTI,</w:t>
            </w:r>
          </w:p>
          <w:p>
            <w:pPr>
              <w:pStyle w:val="Normal"/>
              <w:snapToGrid w:val="false"/>
              <w:spacing w:lineRule="auto" w:line="360"/>
              <w:jc w:val="center"/>
              <w:rPr>
                <w:rFonts w:ascii="Arial" w:hAnsi="Arial" w:eastAsia="Calibri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Liberation Serif;Times New Roman"/>
                <w:b/>
                <w:bCs/>
                <w:sz w:val="24"/>
                <w:szCs w:val="24"/>
              </w:rPr>
              <w:t>VICE-PREFEITO NO EXERCÍCIO DO CARGO DE PREFEITO MUNICIPAL</w:t>
            </w:r>
          </w:p>
        </w:tc>
        <w:tc>
          <w:tcPr>
            <w:tcW w:w="3315" w:type="dxa"/>
            <w:tcBorders/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Arial" w:hAnsi="Arial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/>
                <w:b/>
                <w:bCs/>
                <w:sz w:val="24"/>
                <w:szCs w:val="24"/>
              </w:rPr>
            </w:r>
          </w:p>
        </w:tc>
      </w:tr>
    </w:tbl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rFonts w:ascii="Arial" w:hAnsi="Arial"/>
        </w:rPr>
      </w:pPr>
      <w:r>
        <w:rPr>
          <w:sz w:val="24"/>
          <w:szCs w:val="24"/>
        </w:rPr>
        <w:tab/>
        <w:t xml:space="preserve">    </w:t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abealho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center"/>
        <w:rPr>
          <w:rFonts w:ascii="Arial" w:hAnsi="Arial"/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</w:t>
      </w:r>
    </w:p>
    <w:p>
      <w:pPr>
        <w:pStyle w:val="Normal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left="0" w:right="0" w:hanging="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rFonts w:cs="Liberation Serif;Times New Roman"/>
          <w:b w:val="false"/>
          <w:bCs w:val="false"/>
          <w:sz w:val="24"/>
          <w:szCs w:val="24"/>
        </w:rPr>
        <w:t xml:space="preserve">    </w:t>
      </w:r>
      <w:r>
        <w:rPr>
          <w:rFonts w:cs="Liberation Serif;Times New Roman"/>
          <w:b w:val="false"/>
          <w:bCs w:val="false"/>
          <w:sz w:val="24"/>
          <w:szCs w:val="24"/>
        </w:rPr>
        <w:t xml:space="preserve">Encaminhamos o presente Projeto de Lei nº. 041/2019 que </w:t>
      </w:r>
      <w:r>
        <w:rPr>
          <w:rFonts w:cs="Liberation Serif;Times New Roman"/>
          <w:b/>
          <w:bCs/>
          <w:sz w:val="24"/>
          <w:szCs w:val="24"/>
        </w:rPr>
        <w:t>“DISPÕE SOBRE OS PROCEDIMENTOS PARA A PARTICIPAÇÃO, A PROTEÇÃO E A DEFESA DOS DIREITOS DO USUÁRIO DE SERVIÇOS PÚBLICOS DO PODER EXECUTIVO, DE QUE TRATA A LEI N° 13.460, DE 26 DE JUNHO DE 2017, E INSTITUI A OUVIDORIA DO PODER EXECUTIVO E O CONSELHO DE USUÁRIOS DE SERVIÇOS PÚBLICOS.”,</w:t>
      </w:r>
      <w:r>
        <w:rPr>
          <w:rFonts w:cs="Liberation Serif;Times New Roman"/>
          <w:b/>
          <w:bCs w:val="false"/>
          <w:sz w:val="24"/>
          <w:szCs w:val="24"/>
        </w:rPr>
        <w:t xml:space="preserve"> </w:t>
      </w:r>
      <w:r>
        <w:rPr>
          <w:rFonts w:cs="Liberation Serif;Times New Roman"/>
          <w:b w:val="false"/>
          <w:bCs w:val="false"/>
          <w:sz w:val="24"/>
          <w:szCs w:val="24"/>
        </w:rPr>
        <w:t xml:space="preserve">para apreciação e deliberação dos senhores </w:t>
      </w:r>
      <w:r>
        <w:rPr>
          <w:rFonts w:cs="Liberation Serif;Times New Roman"/>
          <w:b w:val="false"/>
          <w:bCs w:val="false"/>
          <w:i/>
          <w:sz w:val="24"/>
          <w:szCs w:val="24"/>
        </w:rPr>
        <w:t>Edis</w:t>
      </w:r>
      <w:r>
        <w:rPr>
          <w:rFonts w:cs="Liberation Serif;Times New Roman"/>
          <w:b w:val="false"/>
          <w:bCs w:val="false"/>
          <w:sz w:val="24"/>
          <w:szCs w:val="24"/>
        </w:rPr>
        <w:t>.</w:t>
      </w:r>
    </w:p>
    <w:p>
      <w:pPr>
        <w:pStyle w:val="Normal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left="0" w:right="0" w:hanging="0"/>
        <w:jc w:val="both"/>
        <w:rPr>
          <w:rFonts w:cs="Liberation Serif;Times New Roman"/>
        </w:rPr>
      </w:pPr>
      <w:r>
        <w:rPr>
          <w:rFonts w:cs="Liberation Serif;Times New Roman"/>
        </w:rPr>
      </w:r>
    </w:p>
    <w:p>
      <w:pPr>
        <w:pStyle w:val="Normal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hanging="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  </w:t>
      </w:r>
      <w:r>
        <w:rPr>
          <w:b w:val="false"/>
          <w:bCs w:val="false"/>
          <w:sz w:val="24"/>
          <w:szCs w:val="24"/>
        </w:rPr>
        <w:t>A Constituição Federal de 1988, consolidando a formação de um Estado Democrático de Direito fundamentado na cidadania e na dignidade da pessoa humana, consagra a participação popular como princípio inerente à democracia aberta e participativa, abrindo a oportunidade de o cidadão gerenciar a gestão pública.</w:t>
      </w:r>
    </w:p>
    <w:p>
      <w:pPr>
        <w:pStyle w:val="Normal"/>
        <w:tabs>
          <w:tab w:val="left" w:pos="1418" w:leader="none"/>
          <w:tab w:val="left" w:pos="4253" w:leader="none"/>
          <w:tab w:val="center" w:pos="4419" w:leader="none"/>
          <w:tab w:val="right" w:pos="8838" w:leader="none"/>
        </w:tabs>
        <w:suppressAutoHyphens w:val="true"/>
        <w:spacing w:lineRule="auto" w:line="360"/>
        <w:ind w:firstLine="709"/>
        <w:jc w:val="both"/>
        <w:rPr>
          <w:rFonts w:ascii="Arial" w:hAnsi="Arial"/>
          <w:b w:val="false"/>
          <w:b w:val="false"/>
          <w:bCs w:val="false"/>
          <w:sz w:val="16"/>
          <w:szCs w:val="16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   </w:t>
      </w:r>
      <w:r>
        <w:rPr>
          <w:b w:val="false"/>
          <w:bCs w:val="false"/>
          <w:sz w:val="24"/>
          <w:szCs w:val="24"/>
        </w:rPr>
        <w:t>Nesse contexto, a Ouvidoria pública se destaca como um órgão autônomo de controle social da Administração Pública, permitindo o diálogo entre o cidadão –usuário do serviço público e o Governo Municipal. Exerce, assim, função garantidora de comunicação capaz de desenvolver uma política pública adequada a atender os direitos individuais resguardados pela Constituição.</w:t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  <w:sz w:val="16"/>
          <w:szCs w:val="16"/>
        </w:rPr>
      </w:pPr>
      <w:r>
        <w:rPr>
          <w:b w:val="false"/>
          <w:bCs w:val="false"/>
          <w:sz w:val="16"/>
          <w:szCs w:val="16"/>
        </w:rPr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   </w:t>
      </w:r>
      <w:r>
        <w:rPr>
          <w:b w:val="false"/>
          <w:bCs w:val="false"/>
          <w:sz w:val="24"/>
          <w:szCs w:val="24"/>
        </w:rPr>
        <w:t>A existência de uma Ouvidoria na estrutura de um órgão público pode estreitar a relação entre a sociedade e o Estado, permitindo que o cidadão participe da gestão pública e realize um controle social sobre as políticas, os serviços e, indiretamente, os servidores públicos. Na ouvidoria, a análise das manifestações recebidas pode servir de base para informar ao dirigente do órgão sobre a existência de problemas e, como consequência, induzir mudanças estruturais e, mesmo, melhorias conjunturais.</w:t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  <w:sz w:val="14"/>
          <w:szCs w:val="14"/>
        </w:rPr>
      </w:pPr>
      <w:r>
        <w:rPr>
          <w:b w:val="false"/>
          <w:bCs w:val="false"/>
          <w:sz w:val="14"/>
          <w:szCs w:val="14"/>
        </w:rPr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   </w:t>
      </w:r>
      <w:r>
        <w:rPr>
          <w:b w:val="false"/>
          <w:bCs w:val="false"/>
          <w:sz w:val="24"/>
          <w:szCs w:val="24"/>
        </w:rPr>
        <w:t>A ouvidoria pública é um significativo instrumento de gestão, pois a partir do envio de manifestações pelo cidadão, seja elogio, sugestão, crítica, reclamação ou denúncia, é possível mapear a realidade da qualidade do serviço público prestado, sob a ótica do destinatário final, ou seja, o cidadão que efetivamente o utiliza. As informações prestadas pelo cidadão, por intermédio da ouvidoria, também podem ser utilizadas para planejamentos de projetos, políticas públicas e proposituras legislativas, além de possibilitar a melhoria no atendimento às necessidades da sociedade. Quando se diagnosticam as falhas e os erros, é possível uma ação preventiva, colaborando na eliminação das causas dos problemas ou reduzindo o impacto que poderiam acarretar. Uma Ouvidoria implantada pelo Município fortalece o poder local e garante uma atuação próxima ao cidadão, captando as especificidades, as particularidades e a essência da sociedade em que se encontra.</w:t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  <w:sz w:val="14"/>
          <w:szCs w:val="14"/>
        </w:rPr>
      </w:pPr>
      <w:r>
        <w:rPr>
          <w:b w:val="false"/>
          <w:bCs w:val="false"/>
          <w:sz w:val="14"/>
          <w:szCs w:val="14"/>
        </w:rPr>
      </w:r>
    </w:p>
    <w:p>
      <w:pPr>
        <w:pStyle w:val="Normal"/>
        <w:spacing w:lineRule="auto" w:line="360"/>
        <w:jc w:val="both"/>
        <w:rPr/>
      </w:pPr>
      <w:r>
        <w:rPr>
          <w:b w:val="false"/>
          <w:bCs w:val="false"/>
          <w:sz w:val="24"/>
          <w:szCs w:val="24"/>
        </w:rPr>
        <w:t xml:space="preserve">  </w:t>
      </w:r>
      <w:r>
        <w:rPr>
          <w:b w:val="false"/>
          <w:bCs w:val="false"/>
          <w:sz w:val="24"/>
          <w:szCs w:val="24"/>
        </w:rPr>
        <w:t xml:space="preserve">Diante do exposto, a Ouvidoria busca </w:t>
      </w:r>
      <w:r>
        <w:rPr>
          <w:b w:val="false"/>
          <w:bCs w:val="false"/>
          <w:sz w:val="24"/>
          <w:szCs w:val="24"/>
        </w:rPr>
        <w:t>f</w:t>
      </w:r>
      <w:r>
        <w:rPr>
          <w:b w:val="false"/>
          <w:bCs w:val="false"/>
          <w:sz w:val="24"/>
          <w:szCs w:val="24"/>
        </w:rPr>
        <w:t xml:space="preserve">ortalecer a participação cidadã nas tomadas de decisões e no controle social. </w:t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</w:rPr>
      </w:pPr>
      <w:r>
        <w:rPr>
          <w:sz w:val="14"/>
          <w:szCs w:val="14"/>
        </w:rPr>
      </w:r>
    </w:p>
    <w:p>
      <w:pPr>
        <w:pStyle w:val="Normal"/>
        <w:spacing w:lineRule="auto" w:line="360"/>
        <w:jc w:val="both"/>
        <w:rPr/>
      </w:pPr>
      <w:r>
        <w:rPr>
          <w:b w:val="false"/>
          <w:bCs w:val="false"/>
          <w:sz w:val="24"/>
          <w:szCs w:val="24"/>
        </w:rPr>
        <w:t xml:space="preserve">   </w:t>
      </w:r>
      <w:r>
        <w:rPr>
          <w:rFonts w:ascii="Arial" w:hAnsi="Arial"/>
          <w:b w:val="false"/>
          <w:bCs w:val="false"/>
          <w:sz w:val="24"/>
          <w:szCs w:val="24"/>
        </w:rPr>
        <w:t>Destaca-se, ainda, que a</w:t>
      </w:r>
      <w:r>
        <w:rPr>
          <w:rFonts w:eastAsia="Times New Roman" w:cs="Liberation Serif;Times New Roman" w:ascii="Arial" w:hAnsi="Arial"/>
          <w:b w:val="false"/>
          <w:bCs/>
          <w:sz w:val="24"/>
          <w:szCs w:val="24"/>
          <w:lang w:eastAsia="pt-BR"/>
        </w:rPr>
        <w:t xml:space="preserve"> </w:t>
      </w:r>
      <w:r>
        <w:rPr>
          <w:rFonts w:eastAsia="Times New Roman" w:cs="Liberation Serif;Times New Roman" w:ascii="Arial" w:hAnsi="Arial"/>
          <w:b w:val="false"/>
          <w:bCs/>
          <w:sz w:val="24"/>
          <w:szCs w:val="24"/>
          <w:lang w:eastAsia="pt-BR"/>
        </w:rPr>
        <w:t>presente proposição importará no impacto orçamentário e financeiro que segue em anexo.</w:t>
      </w:r>
    </w:p>
    <w:p>
      <w:pPr>
        <w:pStyle w:val="Normal"/>
        <w:spacing w:lineRule="auto" w:line="360"/>
        <w:jc w:val="both"/>
        <w:rPr>
          <w:rFonts w:ascii="Arial" w:hAnsi="Arial"/>
          <w:b w:val="false"/>
          <w:b w:val="false"/>
          <w:bCs w:val="false"/>
          <w:sz w:val="14"/>
          <w:szCs w:val="14"/>
        </w:rPr>
      </w:pPr>
      <w:r>
        <w:rPr>
          <w:b w:val="false"/>
          <w:bCs w:val="false"/>
          <w:sz w:val="14"/>
          <w:szCs w:val="14"/>
        </w:rPr>
      </w:r>
    </w:p>
    <w:p>
      <w:pPr>
        <w:pStyle w:val="Normal"/>
        <w:tabs>
          <w:tab w:val="left" w:pos="7155" w:leader="none"/>
        </w:tabs>
        <w:spacing w:lineRule="auto" w:line="360" w:before="0" w:after="0"/>
        <w:ind w:left="0" w:right="0" w:hanging="0"/>
        <w:jc w:val="both"/>
        <w:rPr/>
      </w:pPr>
      <w:r>
        <w:rPr>
          <w:rFonts w:eastAsia="Liberation Serif;Times New Roman" w:cs="Liberation Serif;Times New Roman" w:ascii="Liberation Serif;Times New Roman" w:hAnsi="Liberation Serif;Times New Roman"/>
          <w:sz w:val="24"/>
          <w:szCs w:val="24"/>
          <w:lang w:val="pt-BR"/>
        </w:rPr>
        <w:t xml:space="preserve"> </w:t>
      </w:r>
      <w:r>
        <w:rPr>
          <w:rFonts w:eastAsia="Liberation Serif;Times New Roman" w:cs="Liberation Serif;Times New Roman"/>
          <w:sz w:val="24"/>
          <w:szCs w:val="24"/>
          <w:lang w:val="pt-BR"/>
        </w:rPr>
        <w:t xml:space="preserve"> </w:t>
      </w:r>
      <w:r>
        <w:rPr>
          <w:rFonts w:cs="Liberation Serif;Times New Roman"/>
          <w:sz w:val="24"/>
          <w:szCs w:val="24"/>
          <w:lang w:val="pt-BR"/>
        </w:rPr>
        <w:t xml:space="preserve">Dessa forma, com o objetivo de buscarmos a devida autorização legislativa para realização dos ajustes orçamentários e legais necessários, esperamos desta Colenda Câmara o pronunciamento favorável à proposição em tela. </w:t>
      </w:r>
    </w:p>
    <w:p>
      <w:pPr>
        <w:pStyle w:val="Normal"/>
        <w:tabs>
          <w:tab w:val="left" w:pos="7155" w:leader="none"/>
        </w:tabs>
        <w:spacing w:lineRule="auto" w:line="360" w:before="0" w:after="0"/>
        <w:ind w:left="0" w:right="0" w:hanging="0"/>
        <w:jc w:val="both"/>
        <w:rPr>
          <w:rFonts w:ascii="Arial" w:hAnsi="Arial" w:cs="Liberation Serif;Times New Roman"/>
          <w:sz w:val="24"/>
          <w:szCs w:val="24"/>
          <w:lang w:val="pt-BR"/>
        </w:rPr>
      </w:pPr>
      <w:r>
        <w:rPr>
          <w:rFonts w:cs="Liberation Serif;Times New Roman"/>
          <w:sz w:val="24"/>
          <w:szCs w:val="24"/>
          <w:lang w:val="pt-BR"/>
        </w:rPr>
      </w:r>
    </w:p>
    <w:tbl>
      <w:tblPr>
        <w:tblW w:w="10733" w:type="dxa"/>
        <w:jc w:val="left"/>
        <w:tblInd w:w="2094" w:type="dxa"/>
        <w:tblBorders/>
        <w:tblCellMar>
          <w:top w:w="0" w:type="dxa"/>
          <w:left w:w="70" w:type="dxa"/>
          <w:bottom w:w="0" w:type="dxa"/>
          <w:right w:w="70" w:type="dxa"/>
        </w:tblCellMar>
      </w:tblPr>
      <w:tblGrid>
        <w:gridCol w:w="1454"/>
        <w:gridCol w:w="6645"/>
        <w:gridCol w:w="2634"/>
      </w:tblGrid>
      <w:tr>
        <w:trPr/>
        <w:tc>
          <w:tcPr>
            <w:tcW w:w="1454" w:type="dxa"/>
            <w:tcBorders/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Arial" w:hAnsi="Arial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/>
                <w:b/>
                <w:bCs/>
                <w:sz w:val="24"/>
                <w:szCs w:val="24"/>
              </w:rPr>
            </w:r>
          </w:p>
        </w:tc>
        <w:tc>
          <w:tcPr>
            <w:tcW w:w="6645" w:type="dxa"/>
            <w:tcBorders/>
            <w:shd w:fill="auto" w:val="clear"/>
          </w:tcPr>
          <w:p>
            <w:pPr>
              <w:pStyle w:val="Normal"/>
              <w:snapToGrid w:val="false"/>
              <w:spacing w:lineRule="auto" w:line="360"/>
              <w:jc w:val="center"/>
              <w:rPr>
                <w:rFonts w:ascii="Arial" w:hAnsi="Arial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/>
                <w:b/>
                <w:bCs/>
                <w:sz w:val="24"/>
                <w:szCs w:val="24"/>
              </w:rPr>
              <w:t>JERRI ADRIANI MENEGHETTI,</w:t>
            </w:r>
          </w:p>
          <w:p>
            <w:pPr>
              <w:pStyle w:val="Normal"/>
              <w:snapToGrid w:val="false"/>
              <w:spacing w:lineRule="auto" w:line="360"/>
              <w:jc w:val="center"/>
              <w:rPr>
                <w:rFonts w:ascii="Arial" w:hAnsi="Arial" w:eastAsia="Calibri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eastAsia="Calibri" w:cs="Liberation Serif;Times New Roman"/>
                <w:b/>
                <w:bCs/>
                <w:sz w:val="24"/>
                <w:szCs w:val="24"/>
              </w:rPr>
              <w:t>VICE-PREFEITO NO EXERCÍCIO DO CARGO DE PREFEITO MUNICIPAL</w:t>
            </w:r>
          </w:p>
        </w:tc>
        <w:tc>
          <w:tcPr>
            <w:tcW w:w="2634" w:type="dxa"/>
            <w:tcBorders/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Arial" w:hAnsi="Arial" w:cs="Liberation Serif;Times New Roman"/>
                <w:b/>
                <w:b/>
                <w:bCs/>
                <w:sz w:val="24"/>
                <w:szCs w:val="24"/>
              </w:rPr>
            </w:pPr>
            <w:r>
              <w:rPr>
                <w:rFonts w:cs="Liberation Serif;Times New Roman"/>
                <w:b/>
                <w:bCs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60"/>
        <w:jc w:val="both"/>
        <w:rPr/>
      </w:pPr>
      <w:r>
        <w:rPr/>
      </w:r>
    </w:p>
    <w:sectPr>
      <w:footerReference w:type="default" r:id="rId2"/>
      <w:type w:val="nextPage"/>
      <w:pgSz w:w="11906" w:h="16838"/>
      <w:pgMar w:left="1701" w:right="850" w:header="0" w:top="3685" w:footer="1304" w:bottom="187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ind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14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8115" cy="160020"/>
              <wp:effectExtent l="0" t="0" r="0" b="0"/>
              <wp:wrapSquare wrapText="largest"/>
              <wp:docPr id="1" name="Quadro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320" cy="159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/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14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1" stroked="f" style="position:absolute;margin-left:455.3pt;margin-top:0.05pt;width:12.35pt;height:12.5pt;mso-position-horizontal:right;mso-position-horizontal-relative:margin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/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14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embedSystemFonts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pt-BR" w:eastAsia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Pr/>
  </w:style>
  <w:style w:type="character" w:styleId="Ncoradanotaderodap">
    <w:name w:val="Âncora da nota de rodapé"/>
    <w:rPr>
      <w:vertAlign w:val="superscript"/>
    </w:rPr>
  </w:style>
  <w:style w:type="character" w:styleId="FootnoteCharacters">
    <w:name w:val="Footnote Characters"/>
    <w:semiHidden/>
    <w:qFormat/>
    <w:rPr>
      <w:vertAlign w:val="superscript"/>
    </w:rPr>
  </w:style>
  <w:style w:type="character" w:styleId="LinkdaInternet">
    <w:name w:val="Link da Internet"/>
    <w:rsid w:val="00722c61"/>
    <w:rPr>
      <w:color w:val="0563C1"/>
      <w:u w:val="single"/>
    </w:rPr>
  </w:style>
  <w:style w:type="character" w:styleId="Annotationreference">
    <w:name w:val="annotation reference"/>
    <w:basedOn w:val="DefaultParagraphFont"/>
    <w:semiHidden/>
    <w:unhideWhenUsed/>
    <w:qFormat/>
    <w:rsid w:val="00b92446"/>
    <w:rPr>
      <w:sz w:val="16"/>
      <w:szCs w:val="16"/>
    </w:rPr>
  </w:style>
  <w:style w:type="character" w:styleId="TextodecomentrioChar" w:customStyle="1">
    <w:name w:val="Texto de comentário Char"/>
    <w:basedOn w:val="DefaultParagraphFont"/>
    <w:link w:val="Textodecomentrio"/>
    <w:semiHidden/>
    <w:qFormat/>
    <w:rsid w:val="00b92446"/>
    <w:rPr>
      <w:rFonts w:ascii="Arial" w:hAnsi="Arial"/>
    </w:rPr>
  </w:style>
  <w:style w:type="character" w:styleId="AssuntodocomentrioChar" w:customStyle="1">
    <w:name w:val="Assunto do comentário Char"/>
    <w:basedOn w:val="TextodecomentrioChar"/>
    <w:link w:val="Assuntodocomentrio"/>
    <w:semiHidden/>
    <w:qFormat/>
    <w:rsid w:val="00b92446"/>
    <w:rPr>
      <w:rFonts w:ascii="Arial" w:hAnsi="Arial"/>
      <w:b/>
      <w:bCs/>
    </w:rPr>
  </w:style>
  <w:style w:type="character" w:styleId="TextodebaloChar" w:customStyle="1">
    <w:name w:val="Texto de balão Char"/>
    <w:basedOn w:val="DefaultParagraphFont"/>
    <w:link w:val="Textodebalo"/>
    <w:qFormat/>
    <w:rsid w:val="00b92446"/>
    <w:rPr>
      <w:rFonts w:ascii="Segoe UI" w:hAnsi="Segoe UI" w:cs="Segoe UI"/>
      <w:sz w:val="18"/>
      <w:szCs w:val="18"/>
    </w:rPr>
  </w:style>
  <w:style w:type="character" w:styleId="Caracteresdenotaderodap">
    <w:name w:val="Caracteres de nota de rodapé"/>
    <w:qFormat/>
    <w:rPr/>
  </w:style>
  <w:style w:type="character" w:styleId="Ncoradanotadefim">
    <w:name w:val="Âncora da nota de fim"/>
    <w:rPr>
      <w:vertAlign w:val="superscript"/>
    </w:rPr>
  </w:style>
  <w:style w:type="character" w:styleId="Caracteresdenotadefim">
    <w:name w:val="Caracteres de nota de fim"/>
    <w:qFormat/>
    <w:rPr/>
  </w:style>
  <w:style w:type="paragraph" w:styleId="Ttulo">
    <w:name w:val="Título"/>
    <w:basedOn w:val="Normal"/>
    <w:next w:val="Corpodetexto"/>
    <w:qFormat/>
    <w:pPr>
      <w:keepNext w:val="true"/>
      <w:spacing w:before="240" w:after="120"/>
    </w:pPr>
    <w:rPr>
      <w:rFonts w:ascii="Liberation Sans" w:hAnsi="Liberation Sans" w:eastAsia="WenQuanYi Micro Hei" w:cs="Lohit Devanagari"/>
      <w:sz w:val="28"/>
      <w:szCs w:val="28"/>
    </w:rPr>
  </w:style>
  <w:style w:type="paragraph" w:styleId="Co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e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alho">
    <w:name w:val="Header"/>
    <w:basedOn w:val="Normal"/>
    <w:pPr>
      <w:tabs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pPr>
      <w:tabs>
        <w:tab w:val="center" w:pos="4419" w:leader="none"/>
        <w:tab w:val="right" w:pos="8838" w:leader="none"/>
      </w:tabs>
    </w:pPr>
    <w:rPr/>
  </w:style>
  <w:style w:type="paragraph" w:styleId="Notaderodap">
    <w:name w:val="Footnote Text"/>
    <w:basedOn w:val="Normal"/>
    <w:semiHidden/>
    <w:pPr/>
    <w:rPr>
      <w:sz w:val="20"/>
    </w:rPr>
  </w:style>
  <w:style w:type="paragraph" w:styleId="Annotationtext">
    <w:name w:val="annotation text"/>
    <w:basedOn w:val="Normal"/>
    <w:link w:val="TextodecomentrioChar"/>
    <w:semiHidden/>
    <w:unhideWhenUsed/>
    <w:qFormat/>
    <w:rsid w:val="00b92446"/>
    <w:pPr/>
    <w:rPr>
      <w:sz w:val="20"/>
    </w:rPr>
  </w:style>
  <w:style w:type="paragraph" w:styleId="Annotationsubject">
    <w:name w:val="annotation subject"/>
    <w:basedOn w:val="Annotationtext"/>
    <w:link w:val="AssuntodocomentrioChar"/>
    <w:semiHidden/>
    <w:unhideWhenUsed/>
    <w:qFormat/>
    <w:rsid w:val="00b92446"/>
    <w:pPr/>
    <w:rPr>
      <w:b/>
      <w:bCs/>
    </w:rPr>
  </w:style>
  <w:style w:type="paragraph" w:styleId="BalloonText">
    <w:name w:val="Balloon Text"/>
    <w:basedOn w:val="Normal"/>
    <w:link w:val="TextodebaloChar"/>
    <w:qFormat/>
    <w:rsid w:val="00b92446"/>
    <w:pPr/>
    <w:rPr>
      <w:rFonts w:ascii="Segoe UI" w:hAnsi="Segoe UI" w:cs="Segoe UI"/>
      <w:sz w:val="18"/>
      <w:szCs w:val="18"/>
    </w:rPr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B6800-E988-4E02-AFB9-4013A1A0A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Informação DPM</Template>
  <TotalTime>238</TotalTime>
  <Application>LibreOffice/6.0.6.2$Windows_X86_64 LibreOffice_project/0c292870b25a325b5ed35f6b45599d2ea4458e77</Application>
  <Pages>14</Pages>
  <Words>2853</Words>
  <Characters>15883</Characters>
  <CharactersWithSpaces>18692</CharactersWithSpaces>
  <Paragraphs>156</Paragraphs>
  <Company>xxxxxx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2019-05-28T17:13:00Z</dcterms:created>
  <dc:creator>Vanessa Borba</dc:creator>
  <dc:description/>
  <dc:language>pt-BR</dc:language>
  <cp:lastModifiedBy/>
  <cp:lastPrinted>2019-06-24T10:26:47Z</cp:lastPrinted>
  <dcterms:modified xsi:type="dcterms:W3CDTF">2019-06-24T10:28:28Z</dcterms:modified>
  <cp:revision>16</cp:revision>
  <dc:subject/>
  <dc:title>Informação DPM n° -2003 -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xxxxxx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