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pBdr/>
        <w:shd w:val="clear" w:color="auto" w:fill="FFFFFF"/>
        <w:spacing w:lineRule="auto" w:line="276" w:before="0" w:after="150"/>
        <w:ind w:left="0" w:hanging="0"/>
        <w:jc w:val="center"/>
        <w:outlineLvl w:val="1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b/>
          <w:bCs/>
          <w:caps/>
          <w:sz w:val="22"/>
          <w:szCs w:val="22"/>
          <w:lang w:eastAsia="pt-BR"/>
        </w:rPr>
        <w:t>PROJETO DE LEI Nª 026/2021</w:t>
      </w:r>
    </w:p>
    <w:p>
      <w:pPr>
        <w:pStyle w:val="Normal"/>
        <w:spacing w:lineRule="auto" w:line="276" w:before="0" w:after="0"/>
        <w:jc w:val="both"/>
        <w:rPr>
          <w:rFonts w:ascii="Noto Serif" w:hAnsi="Noto Serif" w:eastAsia="Times New Roman" w:cs="Times New Roman"/>
          <w:sz w:val="6"/>
          <w:szCs w:val="6"/>
          <w:lang w:eastAsia="pt-BR"/>
        </w:rPr>
      </w:pPr>
      <w:r>
        <w:rPr>
          <w:rFonts w:eastAsia="Times New Roman" w:cs="Times New Roman" w:ascii="Noto Serif" w:hAnsi="Noto Serif"/>
          <w:sz w:val="6"/>
          <w:szCs w:val="6"/>
          <w:lang w:eastAsia="pt-BR"/>
        </w:rPr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360" w:before="300" w:after="300"/>
        <w:ind w:left="3000" w:right="300" w:hanging="0"/>
        <w:jc w:val="both"/>
        <w:outlineLvl w:val="0"/>
        <w:rPr>
          <w:rFonts w:ascii="Noto Serif" w:hAnsi="Noto Serif"/>
          <w:i/>
          <w:i/>
          <w:iCs/>
          <w:sz w:val="22"/>
          <w:szCs w:val="22"/>
        </w:rPr>
      </w:pPr>
      <w:r>
        <w:rPr>
          <w:rFonts w:eastAsia="Times New Roman" w:cs="Times New Roman" w:ascii="Noto Serif" w:hAnsi="Noto Serif"/>
          <w:b/>
          <w:bCs/>
          <w:i/>
          <w:iCs/>
          <w:kern w:val="2"/>
          <w:sz w:val="22"/>
          <w:szCs w:val="22"/>
          <w:lang w:eastAsia="pt-BR"/>
        </w:rPr>
        <w:t>“</w:t>
      </w:r>
      <w:r>
        <w:rPr>
          <w:rFonts w:eastAsia="Times New Roman" w:cs="Times New Roman" w:ascii="Noto Serif" w:hAnsi="Noto Serif"/>
          <w:b/>
          <w:bCs/>
          <w:i/>
          <w:iCs/>
          <w:kern w:val="2"/>
          <w:sz w:val="22"/>
          <w:szCs w:val="22"/>
          <w:lang w:eastAsia="pt-BR"/>
        </w:rPr>
        <w:t>AUTORIZA O PODER EXECUTIVO DO MUNICÍPIO DE DOIS IRMÃOS A ADQUIRIR VACINAS PARA O ENFRENTAMENTO DA PANDEMIA DA COVID-19.”</w:t>
      </w:r>
    </w:p>
    <w:p>
      <w:pPr>
        <w:pStyle w:val="Normal"/>
        <w:spacing w:lineRule="auto" w:line="36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sz w:val="22"/>
          <w:szCs w:val="22"/>
          <w:lang w:eastAsia="pt-BR"/>
        </w:rPr>
        <w:tab/>
      </w:r>
      <w:r>
        <w:rPr>
          <w:rFonts w:eastAsia="Times New Roman" w:cs="Noto Serif" w:ascii="Noto Serif" w:hAnsi="Noto Serif"/>
          <w:b/>
          <w:sz w:val="22"/>
          <w:szCs w:val="22"/>
          <w:lang w:eastAsia="pt-BR"/>
        </w:rPr>
        <w:t>O PREFEITO DO MUNICÍPIO DE DOIS IRMÃOS</w:t>
      </w:r>
      <w:r>
        <w:rPr>
          <w:rFonts w:eastAsia="Times New Roman" w:cs="Noto Serif" w:ascii="Noto Serif" w:hAnsi="Noto Serif"/>
          <w:b w:val="false"/>
          <w:bCs w:val="false"/>
          <w:sz w:val="22"/>
          <w:szCs w:val="22"/>
          <w:lang w:eastAsia="pt-BR"/>
        </w:rPr>
        <w:t>, RS</w:t>
      </w:r>
      <w:r>
        <w:rPr>
          <w:rFonts w:eastAsia="Times New Roman" w:cs="Noto Serif" w:ascii="Noto Serif" w:hAnsi="Noto Serif"/>
          <w:b/>
          <w:sz w:val="22"/>
          <w:szCs w:val="22"/>
          <w:lang w:eastAsia="pt-BR"/>
        </w:rPr>
        <w:t>,</w:t>
      </w:r>
      <w:r>
        <w:rPr>
          <w:rFonts w:eastAsia="Times New Roman" w:cs="Noto Serif" w:ascii="Noto Serif" w:hAnsi="Noto Serif"/>
          <w:sz w:val="22"/>
          <w:szCs w:val="22"/>
          <w:lang w:eastAsia="pt-BR"/>
        </w:rPr>
        <w:t xml:space="preserve"> faço saber que a Câmara Municipal aprova e eu sanciono, com base no art. 63 e no art. 82, VI da Lei Orgânica Municipal a seguinte:</w:t>
      </w:r>
    </w:p>
    <w:p>
      <w:pPr>
        <w:pStyle w:val="Normal"/>
        <w:spacing w:lineRule="auto" w:line="276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Noto Serif" w:ascii="Noto Serif" w:hAnsi="Noto Serif"/>
          <w:sz w:val="22"/>
          <w:szCs w:val="22"/>
          <w:shd w:fill="FFFFFF" w:val="clear"/>
          <w:lang w:eastAsia="pt-BR"/>
        </w:rPr>
        <w:tab/>
        <w:tab/>
        <w:tab/>
        <w:t xml:space="preserve">   </w:t>
        <w:tab/>
        <w:t xml:space="preserve">   </w:t>
        <w:tab/>
        <w:t xml:space="preserve">        </w:t>
      </w:r>
      <w:r>
        <w:rPr>
          <w:rFonts w:eastAsia="Times New Roman" w:cs="Noto Serif" w:ascii="Noto Serif" w:hAnsi="Noto Serif"/>
          <w:b/>
          <w:bCs/>
          <w:sz w:val="22"/>
          <w:szCs w:val="22"/>
          <w:shd w:fill="FFFFFF" w:val="clear"/>
          <w:lang w:eastAsia="pt-BR"/>
        </w:rPr>
        <w:t>L E I</w:t>
      </w:r>
    </w:p>
    <w:p>
      <w:pPr>
        <w:pStyle w:val="Normal"/>
        <w:spacing w:lineRule="auto" w:line="36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sz w:val="22"/>
          <w:szCs w:val="22"/>
          <w:lang w:eastAsia="pt-BR"/>
        </w:rPr>
        <w:tab/>
      </w:r>
      <w:r>
        <w:rPr>
          <w:rFonts w:eastAsia="Times New Roman" w:cs="Times New Roman" w:ascii="Noto Serif" w:hAnsi="Noto Serif"/>
          <w:b/>
          <w:bCs/>
          <w:sz w:val="22"/>
          <w:szCs w:val="22"/>
          <w:shd w:fill="FFFFFF" w:val="clear"/>
          <w:lang w:eastAsia="pt-BR"/>
        </w:rPr>
        <w:t>Art. 1º</w:t>
      </w:r>
      <w:r>
        <w:rPr>
          <w:rFonts w:eastAsia="Times New Roman" w:cs="Times New Roman" w:ascii="Noto Serif" w:hAnsi="Noto Serif"/>
          <w:sz w:val="22"/>
          <w:szCs w:val="22"/>
          <w:shd w:fill="FFFFFF" w:val="clear"/>
          <w:lang w:eastAsia="pt-BR"/>
        </w:rPr>
        <w:t xml:space="preserve"> Autoriza o Poder Executivo Municipal a adquirir vacinas para o enfrentamento da pandemia da COVID-19 na hipótese de insuficiência de recursos prestados pelos demais entes federados, inclusive quanto ao Plano Nacional de Operacionalização da Vacinação contra a COVID-19, ou caso estes não provejam cobertura imunológica tempestiva e suficiente contra a doença, observadas as legislações federal e estadual pertinentes.</w:t>
      </w:r>
    </w:p>
    <w:p>
      <w:pPr>
        <w:pStyle w:val="Normal"/>
        <w:spacing w:lineRule="auto" w:line="360"/>
        <w:ind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b/>
          <w:bCs/>
          <w:sz w:val="22"/>
          <w:szCs w:val="22"/>
          <w:shd w:fill="FFFFFF" w:val="clear"/>
          <w:lang w:eastAsia="pt-BR"/>
        </w:rPr>
        <w:tab/>
        <w:t>§ 1º</w:t>
      </w:r>
      <w:r>
        <w:rPr>
          <w:rFonts w:eastAsia="Times New Roman" w:cs="Times New Roman" w:ascii="Noto Serif" w:hAnsi="Noto Serif"/>
          <w:sz w:val="22"/>
          <w:szCs w:val="22"/>
          <w:shd w:fill="FFFFFF" w:val="clear"/>
          <w:lang w:eastAsia="pt-BR"/>
        </w:rPr>
        <w:t xml:space="preserve"> As vacinas a serem adquiridas devem ser fornecidas por laboratórios e/ou fabricantes previamente aprovados pela ANVISA.</w:t>
      </w:r>
    </w:p>
    <w:p>
      <w:pPr>
        <w:pStyle w:val="Normal"/>
        <w:spacing w:lineRule="auto" w:line="360"/>
        <w:ind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b/>
          <w:bCs/>
          <w:sz w:val="22"/>
          <w:szCs w:val="22"/>
          <w:shd w:fill="FFFFFF" w:val="clear"/>
          <w:lang w:eastAsia="pt-BR"/>
        </w:rPr>
        <w:tab/>
        <w:t>§ 2º</w:t>
      </w:r>
      <w:r>
        <w:rPr>
          <w:rFonts w:eastAsia="Times New Roman" w:cs="Times New Roman" w:ascii="Noto Serif" w:hAnsi="Noto Serif"/>
          <w:sz w:val="22"/>
          <w:szCs w:val="22"/>
          <w:shd w:fill="FFFFFF" w:val="clear"/>
          <w:lang w:eastAsia="pt-BR"/>
        </w:rPr>
        <w:t xml:space="preserve"> Inexistindo vacinas nas condições estabelecidas pelo § 1º, ou se, após provocação, a ANVISA não se manifestar em até 72 (setenta e duas) horas acerca da aprovação do medicamento, fica o Município de Dois Irmãos autorizado a importar e distribuir vacinas registradas em renomadas agências de regulação no exterior e liberadas para distribuição comercial nos respectivos países, conforme o art. 3º, VIII, a, e §7º - A, da Lei Federal nº 13.979, de 6 de fevereiro de 2020, ou, ainda, quaisquer </w:t>
      </w:r>
    </w:p>
    <w:p>
      <w:pPr>
        <w:pStyle w:val="Normal"/>
        <w:spacing w:lineRule="auto" w:line="360"/>
        <w:ind w:hanging="0"/>
        <w:jc w:val="both"/>
        <w:rPr>
          <w:rFonts w:ascii="Noto Serif" w:hAnsi="Noto Serif"/>
          <w:sz w:val="22"/>
          <w:szCs w:val="22"/>
        </w:rPr>
      </w:pPr>
      <w:r>
        <w:rPr/>
      </w:r>
    </w:p>
    <w:p>
      <w:pPr>
        <w:pStyle w:val="Normal"/>
        <w:spacing w:lineRule="auto" w:line="360"/>
        <w:ind w:hanging="0"/>
        <w:jc w:val="both"/>
        <w:rPr>
          <w:rFonts w:ascii="Noto Serif" w:hAnsi="Noto Serif"/>
          <w:sz w:val="22"/>
          <w:szCs w:val="22"/>
        </w:rPr>
      </w:pPr>
      <w:r>
        <w:rPr/>
      </w:r>
    </w:p>
    <w:p>
      <w:pPr>
        <w:pStyle w:val="Normal"/>
        <w:spacing w:lineRule="auto" w:line="360"/>
        <w:ind w:hanging="0"/>
        <w:jc w:val="both"/>
        <w:rPr>
          <w:rFonts w:ascii="Noto Serif" w:hAnsi="Noto Serif"/>
          <w:sz w:val="22"/>
          <w:szCs w:val="22"/>
        </w:rPr>
      </w:pPr>
      <w:r>
        <w:rPr/>
      </w:r>
    </w:p>
    <w:p>
      <w:pPr>
        <w:pStyle w:val="Normal"/>
        <w:spacing w:lineRule="auto" w:line="360"/>
        <w:ind w:hanging="0"/>
        <w:jc w:val="both"/>
        <w:rPr>
          <w:rFonts w:ascii="Noto Serif" w:hAnsi="Noto Serif"/>
          <w:sz w:val="22"/>
          <w:szCs w:val="22"/>
        </w:rPr>
      </w:pPr>
      <w:r>
        <w:rPr/>
      </w:r>
    </w:p>
    <w:p>
      <w:pPr>
        <w:pStyle w:val="Normal"/>
        <w:spacing w:lineRule="auto" w:line="360"/>
        <w:ind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sz w:val="22"/>
          <w:szCs w:val="22"/>
          <w:shd w:fill="FFFFFF" w:val="clear"/>
          <w:lang w:eastAsia="pt-BR"/>
        </w:rPr>
        <w:t>outras que vierem a ser aprovadas, em caráter emergencial, nos termos da Resolução DC/ANVISA 444, de 10/12/2020.</w:t>
      </w:r>
    </w:p>
    <w:p>
      <w:pPr>
        <w:pStyle w:val="Normal"/>
        <w:spacing w:lineRule="auto" w:line="360"/>
        <w:ind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sz w:val="22"/>
          <w:szCs w:val="22"/>
          <w:shd w:fill="FFFFFF" w:val="clear"/>
          <w:lang w:eastAsia="pt-BR"/>
        </w:rPr>
        <w:tab/>
        <w:t>§ 3º A aquisição das vacinas poderá ser realizada na forma de consórcio com outros Municípios.</w:t>
      </w:r>
    </w:p>
    <w:p>
      <w:pPr>
        <w:pStyle w:val="Normal"/>
        <w:spacing w:lineRule="auto" w:line="36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b/>
          <w:bCs/>
          <w:sz w:val="22"/>
          <w:szCs w:val="22"/>
          <w:shd w:fill="FFFFFF" w:val="clear"/>
          <w:lang w:eastAsia="pt-BR"/>
        </w:rPr>
        <w:tab/>
        <w:t>Art. 2.º</w:t>
      </w:r>
      <w:r>
        <w:rPr>
          <w:rFonts w:eastAsia="Times New Roman" w:cs="Times New Roman" w:ascii="Noto Serif" w:hAnsi="Noto Serif"/>
          <w:sz w:val="22"/>
          <w:szCs w:val="22"/>
          <w:shd w:fill="FFFFFF" w:val="clear"/>
          <w:lang w:eastAsia="pt-BR"/>
        </w:rPr>
        <w:t xml:space="preserve"> Para as aquisições referidas no </w:t>
      </w:r>
      <w:r>
        <w:rPr>
          <w:rFonts w:eastAsia="Times New Roman" w:cs="Times New Roman" w:ascii="Noto Serif" w:hAnsi="Noto Serif"/>
          <w:i/>
          <w:iCs/>
          <w:sz w:val="22"/>
          <w:szCs w:val="22"/>
          <w:shd w:fill="FFFFFF" w:val="clear"/>
          <w:lang w:eastAsia="pt-BR"/>
        </w:rPr>
        <w:t>caput</w:t>
      </w:r>
      <w:r>
        <w:rPr>
          <w:rFonts w:eastAsia="Times New Roman" w:cs="Times New Roman" w:ascii="Noto Serif" w:hAnsi="Noto Serif"/>
          <w:sz w:val="22"/>
          <w:szCs w:val="22"/>
          <w:shd w:fill="FFFFFF" w:val="clear"/>
          <w:lang w:eastAsia="pt-BR"/>
        </w:rPr>
        <w:t xml:space="preserve"> deste artigo fica o Poder Executivo autorizado a abrir, mediante decreto, crédito adicional especial, correndo por conta das seguintes dotações orçamentárias:</w:t>
      </w:r>
    </w:p>
    <w:p>
      <w:pPr>
        <w:pStyle w:val="Corpodotexto"/>
        <w:spacing w:lineRule="auto" w:line="276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sz w:val="22"/>
          <w:szCs w:val="22"/>
          <w:shd w:fill="FFFFFF" w:val="clear"/>
          <w:lang w:eastAsia="pt-BR"/>
        </w:rPr>
        <w:tab/>
        <w:t>09.02.10.0305.0058.1011 Combate ao Coronavírus - COVID-19</w:t>
      </w:r>
    </w:p>
    <w:p>
      <w:pPr>
        <w:pStyle w:val="Corpodotexto"/>
        <w:rPr>
          <w:rFonts w:ascii="Noto Serif" w:hAnsi="Noto Serif"/>
        </w:rPr>
      </w:pPr>
      <w:r>
        <w:rPr>
          <w:rFonts w:ascii="Noto Serif" w:hAnsi="Noto Serif"/>
        </w:rPr>
        <w:tab/>
        <w:t>3.33.90.30.00.00.00 Material de Consumo</w:t>
      </w:r>
    </w:p>
    <w:p>
      <w:pPr>
        <w:pStyle w:val="Corpodotexto"/>
        <w:rPr>
          <w:rFonts w:ascii="Noto Serif" w:hAnsi="Noto Serif"/>
        </w:rPr>
      </w:pPr>
      <w:r>
        <w:rPr>
          <w:rFonts w:ascii="Noto Serif" w:hAnsi="Noto Serif"/>
        </w:rPr>
        <w:tab/>
        <w:t>Recurso 0001 - Livre</w:t>
      </w:r>
    </w:p>
    <w:p>
      <w:pPr>
        <w:pStyle w:val="Corpodotexto"/>
        <w:rPr>
          <w:rFonts w:ascii="Noto Serif" w:hAnsi="Noto Serif"/>
        </w:rPr>
      </w:pPr>
      <w:r>
        <w:rPr>
          <w:rFonts w:ascii="Noto Serif" w:hAnsi="Noto Serif"/>
        </w:rPr>
        <w:tab/>
        <w:t>Recurso 4511 - Custeio Outros Programas Financiados por Transf. Fundo a Fundo</w:t>
      </w:r>
    </w:p>
    <w:p>
      <w:pPr>
        <w:pStyle w:val="Corpodotexto"/>
        <w:rPr>
          <w:sz w:val="6"/>
          <w:szCs w:val="6"/>
        </w:rPr>
      </w:pPr>
      <w:r>
        <w:rPr>
          <w:sz w:val="6"/>
          <w:szCs w:val="6"/>
        </w:rPr>
      </w:r>
    </w:p>
    <w:p>
      <w:pPr>
        <w:pStyle w:val="Normal"/>
        <w:spacing w:lineRule="auto" w:line="276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Times New Roman" w:ascii="Noto Serif" w:hAnsi="Noto Serif"/>
          <w:b/>
          <w:bCs/>
          <w:sz w:val="22"/>
          <w:szCs w:val="22"/>
          <w:shd w:fill="FFFFFF" w:val="clear"/>
          <w:lang w:eastAsia="pt-BR"/>
        </w:rPr>
        <w:tab/>
      </w:r>
      <w:r>
        <w:rPr>
          <w:rFonts w:eastAsia="Times New Roman" w:cs="Noto Serif" w:ascii="Noto Serif" w:hAnsi="Noto Serif"/>
          <w:b/>
          <w:bCs/>
          <w:sz w:val="22"/>
          <w:szCs w:val="22"/>
          <w:shd w:fill="FFFFFF" w:val="clear"/>
          <w:lang w:eastAsia="pt-BR"/>
        </w:rPr>
        <w:t xml:space="preserve">Art. 3º </w:t>
      </w:r>
      <w:r>
        <w:rPr>
          <w:rFonts w:eastAsia="Times New Roman" w:cs="Noto Serif" w:ascii="Noto Serif" w:hAnsi="Noto Serif"/>
          <w:b w:val="false"/>
          <w:bCs w:val="false"/>
          <w:sz w:val="22"/>
          <w:szCs w:val="22"/>
          <w:shd w:fill="FFFFFF" w:val="clear"/>
          <w:lang w:eastAsia="pt-BR"/>
        </w:rPr>
        <w:t>Esta Lei entra em vigar na data de sua publicação.</w:t>
      </w:r>
    </w:p>
    <w:p>
      <w:pPr>
        <w:pStyle w:val="Normal"/>
        <w:spacing w:lineRule="auto" w:line="360"/>
        <w:ind w:left="0" w:right="0" w:hanging="0"/>
        <w:rPr>
          <w:rFonts w:ascii="Noto Serif" w:hAnsi="Noto Serif" w:cs="Noto Serif"/>
          <w:sz w:val="6"/>
          <w:szCs w:val="6"/>
        </w:rPr>
      </w:pPr>
      <w:r>
        <w:rPr>
          <w:rFonts w:cs="Noto Serif" w:ascii="Noto Serif" w:hAnsi="Noto Serif"/>
          <w:sz w:val="6"/>
          <w:szCs w:val="6"/>
        </w:rPr>
      </w:r>
    </w:p>
    <w:p>
      <w:pPr>
        <w:pStyle w:val="Normal"/>
        <w:spacing w:lineRule="auto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Times New Roman" w:cs="Noto Serif" w:ascii="Noto Serif" w:hAnsi="Noto Serif"/>
          <w:color w:val="000000"/>
          <w:sz w:val="22"/>
          <w:szCs w:val="22"/>
          <w:lang w:eastAsia="pt-BR"/>
        </w:rPr>
        <w:tab/>
      </w:r>
      <w:r>
        <w:rPr>
          <w:rFonts w:eastAsia="Times New Roman" w:cs="Noto Serif" w:ascii="Noto Serif" w:hAnsi="Noto Serif"/>
          <w:b/>
          <w:bCs/>
          <w:color w:val="000000"/>
          <w:sz w:val="22"/>
          <w:szCs w:val="22"/>
          <w:lang w:eastAsia="pt-BR"/>
        </w:rPr>
        <w:t>Art. 4º</w:t>
      </w:r>
      <w:r>
        <w:rPr>
          <w:rFonts w:eastAsia="Times New Roman" w:cs="Noto Serif" w:ascii="Noto Serif" w:hAnsi="Noto Serif"/>
          <w:color w:val="000000"/>
          <w:sz w:val="22"/>
          <w:szCs w:val="22"/>
          <w:lang w:eastAsia="pt-BR"/>
        </w:rPr>
        <w:t xml:space="preserve"> Revogam-se as disposições em contrário.</w:t>
      </w:r>
    </w:p>
    <w:p>
      <w:pPr>
        <w:pStyle w:val="Normal"/>
        <w:spacing w:lineRule="auto" w:line="360" w:before="0" w:after="0"/>
        <w:ind w:left="0" w:right="0" w:hanging="0"/>
        <w:jc w:val="both"/>
        <w:rPr>
          <w:rFonts w:eastAsia="Times New Roman" w:cs="Noto Serif"/>
          <w:color w:val="000000"/>
          <w:lang w:eastAsia="pt-BR"/>
        </w:rPr>
      </w:pPr>
      <w:r>
        <w:rPr>
          <w:rFonts w:eastAsia="Times New Roman" w:cs="Noto Serif"/>
          <w:color w:val="000000"/>
          <w:lang w:eastAsia="pt-BR"/>
        </w:rPr>
      </w:r>
    </w:p>
    <w:p>
      <w:pPr>
        <w:pStyle w:val="Normal"/>
        <w:spacing w:lineRule="auto" w:line="360" w:before="0" w:after="0"/>
        <w:ind w:left="0" w:right="0" w:hanging="0"/>
        <w:jc w:val="both"/>
        <w:rPr>
          <w:rFonts w:ascii="Noto Serif" w:hAnsi="Noto Serif"/>
          <w:sz w:val="6"/>
          <w:szCs w:val="6"/>
        </w:rPr>
      </w:pPr>
      <w:r>
        <w:rPr>
          <w:rFonts w:ascii="Noto Serif" w:hAnsi="Noto Serif"/>
          <w:sz w:val="6"/>
          <w:szCs w:val="6"/>
        </w:rPr>
      </w:r>
    </w:p>
    <w:p>
      <w:pPr>
        <w:pStyle w:val="Normal"/>
        <w:spacing w:lineRule="auto" w:line="360"/>
        <w:jc w:val="both"/>
        <w:rPr>
          <w:rFonts w:ascii="Noto Serif" w:hAnsi="Noto Serif" w:cs="Noto Serif"/>
          <w:b/>
          <w:b/>
          <w:sz w:val="22"/>
          <w:szCs w:val="22"/>
        </w:rPr>
      </w:pPr>
      <w:r>
        <w:rPr>
          <w:rFonts w:cs="Noto Serif" w:ascii="Noto Serif" w:hAnsi="Noto Serif"/>
          <w:b/>
          <w:sz w:val="22"/>
          <w:szCs w:val="22"/>
        </w:rPr>
        <w:tab/>
        <w:t>GABINETE DO PREFEITO MUNICIPAL DE DOIS IRMÃOS, RS, 4 DE MARÇO DE 2021.</w:t>
      </w:r>
    </w:p>
    <w:tbl>
      <w:tblPr>
        <w:tblW w:w="13917" w:type="dxa"/>
        <w:jc w:val="left"/>
        <w:tblInd w:w="-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4038"/>
        <w:gridCol w:w="5201"/>
        <w:gridCol w:w="4678"/>
      </w:tblGrid>
      <w:tr>
        <w:trPr>
          <w:trHeight w:val="855" w:hRule="atLeast"/>
        </w:trPr>
        <w:tc>
          <w:tcPr>
            <w:tcW w:w="4038" w:type="dxa"/>
            <w:tcBorders/>
          </w:tcPr>
          <w:p>
            <w:pPr>
              <w:pStyle w:val="Normal"/>
              <w:widowControl w:val="false"/>
              <w:snapToGrid w:val="false"/>
              <w:spacing w:lineRule="auto" w:line="360" w:before="0" w:after="160"/>
              <w:jc w:val="both"/>
              <w:rPr>
                <w:rFonts w:ascii="Noto Serif" w:hAnsi="Noto Serif" w:cs="Noto Serif"/>
                <w:b/>
                <w:b/>
                <w:bCs/>
                <w:sz w:val="22"/>
                <w:szCs w:val="22"/>
              </w:rPr>
            </w:pPr>
            <w:r>
              <w:rPr>
                <w:rFonts w:cs="Noto Serif" w:ascii="Noto Serif" w:hAnsi="Noto Serif"/>
                <w:b/>
                <w:bCs/>
                <w:sz w:val="22"/>
                <w:szCs w:val="22"/>
              </w:rPr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 w:val="false"/>
              <w:spacing w:lineRule="auto" w:line="360"/>
              <w:jc w:val="right"/>
              <w:rPr>
                <w:rFonts w:ascii="Noto Serif" w:hAnsi="Noto Serif" w:cs="Noto Serif"/>
                <w:b/>
                <w:b/>
                <w:bCs/>
                <w:i w:val="false"/>
                <w:i w:val="false"/>
                <w:iCs w:val="false"/>
                <w:sz w:val="22"/>
                <w:szCs w:val="22"/>
              </w:rPr>
            </w:pPr>
            <w:r>
              <w:rPr>
                <w:rFonts w:cs="Noto Serif" w:ascii="Noto Serif" w:hAnsi="Noto Serif"/>
                <w:b/>
                <w:bCs/>
                <w:i w:val="false"/>
                <w:iCs w:val="false"/>
                <w:sz w:val="22"/>
                <w:szCs w:val="22"/>
              </w:rPr>
              <w:t xml:space="preserve">JERRI ADRIANI MENEGHETTI, </w:t>
            </w:r>
          </w:p>
          <w:p>
            <w:pPr>
              <w:pStyle w:val="Normal"/>
              <w:widowControl w:val="false"/>
              <w:spacing w:lineRule="auto" w:line="360" w:before="0" w:after="160"/>
              <w:jc w:val="right"/>
              <w:rPr>
                <w:rFonts w:ascii="Noto Serif" w:hAnsi="Noto Serif" w:cs="Noto Serif"/>
                <w:b/>
                <w:b/>
                <w:bCs/>
                <w:i/>
                <w:i/>
                <w:iCs/>
                <w:sz w:val="22"/>
                <w:szCs w:val="22"/>
              </w:rPr>
            </w:pPr>
            <w:r>
              <w:rPr>
                <w:rFonts w:cs="Noto Serif" w:ascii="Noto Serif" w:hAnsi="Noto Serif"/>
                <w:b/>
                <w:bCs/>
                <w:i w:val="false"/>
                <w:iCs w:val="false"/>
                <w:sz w:val="22"/>
                <w:szCs w:val="22"/>
              </w:rPr>
              <w:t>PREFEITO MUNICIPAL</w:t>
            </w:r>
            <w:r>
              <w:rPr>
                <w:rFonts w:cs="Noto Serif" w:ascii="Noto Serif" w:hAnsi="Noto Serif"/>
                <w:b/>
                <w:bCs/>
                <w:i/>
                <w:iCs/>
                <w:sz w:val="22"/>
                <w:szCs w:val="22"/>
              </w:rPr>
              <w:t>.</w:t>
            </w:r>
          </w:p>
        </w:tc>
        <w:tc>
          <w:tcPr>
            <w:tcW w:w="4678" w:type="dxa"/>
            <w:tcBorders/>
          </w:tcPr>
          <w:p>
            <w:pPr>
              <w:pStyle w:val="Normal"/>
              <w:widowControl w:val="false"/>
              <w:snapToGrid w:val="false"/>
              <w:spacing w:lineRule="auto" w:line="360" w:before="0" w:after="160"/>
              <w:jc w:val="center"/>
              <w:rPr>
                <w:rFonts w:ascii="Noto Serif" w:hAnsi="Noto Serif" w:cs="Noto Serif"/>
                <w:b/>
                <w:b/>
                <w:bCs/>
                <w:sz w:val="22"/>
                <w:szCs w:val="22"/>
              </w:rPr>
            </w:pPr>
            <w:r>
              <w:rPr>
                <w:rFonts w:cs="Noto Serif" w:ascii="Noto Serif" w:hAnsi="Noto Serif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360"/>
        <w:rPr>
          <w:rFonts w:ascii="Noto Serif" w:hAnsi="Noto Serif" w:cs="Noto Serif"/>
          <w:sz w:val="22"/>
          <w:szCs w:val="22"/>
        </w:rPr>
      </w:pPr>
      <w:r>
        <w:rPr>
          <w:rFonts w:cs="Noto Serif" w:ascii="Noto Serif" w:hAnsi="Noto Serif"/>
          <w:sz w:val="22"/>
          <w:szCs w:val="22"/>
        </w:rPr>
      </w:r>
    </w:p>
    <w:p>
      <w:pPr>
        <w:pStyle w:val="Normal"/>
        <w:spacing w:lineRule="auto" w:line="360"/>
        <w:rPr>
          <w:rFonts w:ascii="Noto Serif" w:hAnsi="Noto Serif" w:cs="Noto Serif"/>
          <w:sz w:val="22"/>
          <w:szCs w:val="22"/>
        </w:rPr>
      </w:pPr>
      <w:r>
        <w:rPr>
          <w:rFonts w:cs="Noto Serif" w:ascii="Noto Serif" w:hAnsi="Noto Serif"/>
          <w:sz w:val="22"/>
          <w:szCs w:val="22"/>
        </w:rPr>
      </w:r>
    </w:p>
    <w:p>
      <w:pPr>
        <w:pStyle w:val="Normal"/>
        <w:spacing w:lineRule="auto" w:line="360"/>
        <w:rPr>
          <w:rFonts w:ascii="Noto Serif" w:hAnsi="Noto Serif" w:cs="Noto Serif"/>
          <w:sz w:val="22"/>
          <w:szCs w:val="22"/>
        </w:rPr>
      </w:pPr>
      <w:r>
        <w:rPr>
          <w:rFonts w:cs="Noto Serif" w:ascii="Noto Serif" w:hAnsi="Noto Serif"/>
          <w:sz w:val="22"/>
          <w:szCs w:val="22"/>
        </w:rPr>
      </w:r>
    </w:p>
    <w:p>
      <w:pPr>
        <w:pStyle w:val="Normal"/>
        <w:spacing w:lineRule="auto" w:line="360"/>
        <w:rPr>
          <w:rFonts w:ascii="Noto Serif" w:hAnsi="Noto Serif" w:cs="Noto Serif"/>
          <w:sz w:val="22"/>
          <w:szCs w:val="22"/>
        </w:rPr>
      </w:pPr>
      <w:r>
        <w:rPr/>
      </w:r>
    </w:p>
    <w:p>
      <w:pPr>
        <w:pStyle w:val="Normal"/>
        <w:spacing w:lineRule="auto" w:line="360"/>
        <w:ind w:left="0" w:right="0" w:hanging="0"/>
        <w:jc w:val="center"/>
        <w:rPr>
          <w:rFonts w:ascii="Noto Serif" w:hAnsi="Noto Serif" w:cs="Noto Serif"/>
          <w:b/>
          <w:b/>
          <w:sz w:val="22"/>
          <w:szCs w:val="22"/>
        </w:rPr>
      </w:pPr>
      <w:r>
        <w:rPr/>
      </w:r>
    </w:p>
    <w:p>
      <w:pPr>
        <w:pStyle w:val="Normal"/>
        <w:spacing w:lineRule="auto" w:line="360"/>
        <w:ind w:left="0" w:right="0" w:hanging="0"/>
        <w:jc w:val="center"/>
        <w:rPr>
          <w:rFonts w:ascii="Noto Serif" w:hAnsi="Noto Serif" w:cs="Noto Serif"/>
          <w:b/>
          <w:b/>
          <w:sz w:val="22"/>
          <w:szCs w:val="22"/>
        </w:rPr>
      </w:pPr>
      <w:r>
        <w:rPr/>
      </w:r>
    </w:p>
    <w:p>
      <w:pPr>
        <w:pStyle w:val="Normal"/>
        <w:spacing w:lineRule="auto" w:line="360"/>
        <w:ind w:left="0" w:right="0" w:hanging="0"/>
        <w:jc w:val="center"/>
        <w:rPr>
          <w:rFonts w:ascii="Noto Serif" w:hAnsi="Noto Serif" w:cs="Noto Serif"/>
          <w:b/>
          <w:b/>
          <w:sz w:val="22"/>
          <w:szCs w:val="22"/>
        </w:rPr>
      </w:pPr>
      <w:r>
        <w:rPr>
          <w:rFonts w:cs="Noto Serif" w:ascii="Noto Serif" w:hAnsi="Noto Serif"/>
          <w:b/>
          <w:sz w:val="22"/>
          <w:szCs w:val="22"/>
        </w:rPr>
        <w:t>EXPOSIÇÃO DE MOTIVOS</w:t>
      </w:r>
    </w:p>
    <w:p>
      <w:pPr>
        <w:pStyle w:val="Normal"/>
        <w:spacing w:lineRule="auto" w:line="360"/>
        <w:ind w:left="0" w:right="0" w:hanging="0"/>
        <w:jc w:val="center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left"/>
        <w:rPr>
          <w:rFonts w:ascii="Noto Serif" w:hAnsi="Noto Serif"/>
          <w:sz w:val="22"/>
          <w:szCs w:val="22"/>
        </w:rPr>
      </w:pPr>
      <w:bookmarkStart w:id="0" w:name="OLE_LINK9"/>
      <w:bookmarkStart w:id="1" w:name="OLE_LINK15"/>
      <w:bookmarkStart w:id="2" w:name="OLE_LINK11"/>
      <w:bookmarkStart w:id="3" w:name="OLE_LINK10"/>
      <w:bookmarkEnd w:id="0"/>
      <w:bookmarkEnd w:id="1"/>
      <w:bookmarkEnd w:id="2"/>
      <w:bookmarkEnd w:id="3"/>
      <w:r>
        <w:rPr>
          <w:rFonts w:cs="Noto Serif" w:ascii="Noto Serif" w:hAnsi="Noto Serif"/>
          <w:sz w:val="22"/>
          <w:szCs w:val="22"/>
        </w:rPr>
        <w:tab/>
        <w:tab/>
        <w:t xml:space="preserve">Encaminhamos o presente Projeto de Lei nº 026/2021 que </w:t>
      </w:r>
      <w:bookmarkStart w:id="4" w:name="OLE_LINK52"/>
      <w:bookmarkStart w:id="5" w:name="OLE_LINK62"/>
      <w:bookmarkStart w:id="6" w:name="OLE_LINK51"/>
      <w:bookmarkStart w:id="7" w:name="OLE_LINK61"/>
      <w:r>
        <w:rPr>
          <w:rFonts w:cs="Noto Serif" w:ascii="Noto Serif" w:hAnsi="Noto Serif"/>
          <w:b/>
          <w:bCs/>
          <w:sz w:val="22"/>
          <w:szCs w:val="22"/>
        </w:rPr>
        <w:t>“</w:t>
      </w:r>
      <w:bookmarkStart w:id="8" w:name="OLE_LINK55"/>
      <w:bookmarkStart w:id="9" w:name="OLE_LINK65"/>
      <w:bookmarkStart w:id="10" w:name="OLE_LINK64"/>
      <w:bookmarkStart w:id="11" w:name="OLE_LINK54"/>
      <w:r>
        <w:rPr>
          <w:rFonts w:eastAsia="Times New Roman" w:cs="Times New Roman" w:ascii="Noto Serif" w:hAnsi="Noto Serif"/>
          <w:b/>
          <w:bCs/>
          <w:i/>
          <w:iCs/>
          <w:kern w:val="2"/>
          <w:sz w:val="22"/>
          <w:szCs w:val="22"/>
          <w:lang w:val="pt-BR" w:eastAsia="pt-BR"/>
        </w:rPr>
        <w:t>AUTORIZA O PODER EXECUTIVO DO MUNICÍPIO DE DOIS IRMÃOS A ADQUIRIR VACINAS PARA O ENFRENTAMENTO DA PANDEMIA DA COVID-19.</w:t>
      </w:r>
      <w:bookmarkEnd w:id="8"/>
      <w:bookmarkEnd w:id="9"/>
      <w:bookmarkEnd w:id="10"/>
      <w:bookmarkEnd w:id="11"/>
      <w:r>
        <w:rPr>
          <w:rFonts w:cs="Noto Serif" w:ascii="Noto Serif" w:hAnsi="Noto Serif"/>
          <w:b/>
          <w:bCs/>
          <w:sz w:val="22"/>
          <w:szCs w:val="22"/>
        </w:rPr>
        <w:t>”</w:t>
      </w:r>
      <w:bookmarkEnd w:id="4"/>
      <w:bookmarkEnd w:id="5"/>
      <w:bookmarkEnd w:id="6"/>
      <w:bookmarkEnd w:id="7"/>
      <w:r>
        <w:rPr>
          <w:rFonts w:cs="Noto Serif" w:ascii="Noto Serif" w:hAnsi="Noto Serif"/>
          <w:b/>
          <w:bCs/>
          <w:sz w:val="22"/>
          <w:szCs w:val="22"/>
        </w:rPr>
        <w:t>,</w:t>
      </w:r>
      <w:r>
        <w:rPr>
          <w:rFonts w:cs="Noto Serif" w:ascii="Noto Serif" w:hAnsi="Noto Serif"/>
          <w:b/>
          <w:sz w:val="22"/>
          <w:szCs w:val="22"/>
        </w:rPr>
        <w:t xml:space="preserve"> </w:t>
      </w:r>
      <w:r>
        <w:rPr>
          <w:rFonts w:cs="Noto Serif" w:ascii="Noto Serif" w:hAnsi="Noto Serif"/>
          <w:b w:val="false"/>
          <w:bCs w:val="false"/>
          <w:i w:val="false"/>
          <w:iCs w:val="false"/>
          <w:sz w:val="22"/>
          <w:szCs w:val="22"/>
        </w:rPr>
        <w:t>para deliberação dos senhores Edis.</w:t>
      </w:r>
    </w:p>
    <w:p>
      <w:pPr>
        <w:pStyle w:val="Corpodotexto"/>
        <w:spacing w:lineRule="auto" w:line="3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cs="Noto Serif" w:ascii="Noto Serif" w:hAnsi="Noto Serif"/>
          <w:b/>
          <w:sz w:val="22"/>
          <w:szCs w:val="22"/>
        </w:rPr>
        <w:tab/>
      </w:r>
      <w:r>
        <w:rPr>
          <w:rFonts w:cs="Noto Serif" w:ascii="Noto Serif" w:hAnsi="Noto Serif"/>
          <w:sz w:val="22"/>
          <w:szCs w:val="22"/>
        </w:rPr>
        <w:t>O presente Projeto de Lei tem por objetivo proporcionar que o Município possa adquirir diretamente dos laboratórios e fabricantes da vacina do novo Coronavírus, seja de forma individual ou por consórcio, sem que a isso dependa o Município única e exclusivamente do Plano Nacional de Vacinação do Governo Federal.</w:t>
      </w:r>
    </w:p>
    <w:p>
      <w:pPr>
        <w:pStyle w:val="Corpodotexto"/>
        <w:spacing w:lineRule="auto" w:line="3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/>
      </w:r>
    </w:p>
    <w:p>
      <w:pPr>
        <w:pStyle w:val="Corpodotexto"/>
        <w:spacing w:lineRule="auto" w:line="3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cs="Noto Serif" w:ascii="Noto Serif" w:hAnsi="Noto Serif"/>
          <w:sz w:val="22"/>
          <w:szCs w:val="22"/>
        </w:rPr>
        <w:t xml:space="preserve"> </w:t>
      </w:r>
      <w:r>
        <w:rPr>
          <w:rFonts w:cs="Calibri" w:ascii="Noto Serif" w:hAnsi="Noto Serif"/>
          <w:i w:val="false"/>
          <w:iCs w:val="false"/>
          <w:color w:val="000000"/>
          <w:sz w:val="22"/>
          <w:szCs w:val="22"/>
        </w:rPr>
        <w:tab/>
        <w:t xml:space="preserve">Diante do atual momento em que a pandemia se encontra, com o sistema de saúde pública totalmente absorvido por pacientes da COVID-19 e com falta de leitos em UTIs, restando todas as regiões do Estado, neste momento, classificadas em bandeira preta, urge que o Poder Público tenha acesso a um número maior de vacinas para dispor a sua população. </w:t>
      </w:r>
    </w:p>
    <w:p>
      <w:pPr>
        <w:pStyle w:val="Corpodotexto"/>
        <w:spacing w:lineRule="auto" w:line="3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/>
      </w:r>
    </w:p>
    <w:p>
      <w:pPr>
        <w:pStyle w:val="Corpodotexto"/>
        <w:spacing w:lineRule="auto" w:line="3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cs="Calibri" w:ascii="Noto Serif" w:hAnsi="Noto Serif"/>
          <w:i w:val="false"/>
          <w:iCs w:val="false"/>
          <w:color w:val="000000"/>
          <w:sz w:val="22"/>
          <w:szCs w:val="22"/>
        </w:rPr>
        <w:tab/>
        <w:t>Nessa linha os próprios laboratórios e fabricantes já credenciados pela ANVISA estão em contato direto com os poderes públicos disponibilizando a forma de aquisição, pretensão da qual os Municípios do Estado já estão a se organizar, na forma de consórcios, para viabilizar tais aquisições, interesse esse do qual o poder executivo local compartilha plenamente.</w:t>
      </w:r>
    </w:p>
    <w:p>
      <w:pPr>
        <w:pStyle w:val="Corpodotexto"/>
        <w:spacing w:lineRule="auto" w:line="3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/>
      </w:r>
    </w:p>
    <w:p>
      <w:pPr>
        <w:pStyle w:val="Corpodotexto"/>
        <w:spacing w:lineRule="auto" w:line="3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/>
      </w:r>
    </w:p>
    <w:p>
      <w:pPr>
        <w:pStyle w:val="Corpodotexto"/>
        <w:spacing w:lineRule="auto" w:line="3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/>
      </w:r>
    </w:p>
    <w:p>
      <w:pPr>
        <w:pStyle w:val="Corpodotexto"/>
        <w:spacing w:lineRule="auto" w:line="3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/>
      </w:r>
    </w:p>
    <w:p>
      <w:pPr>
        <w:pStyle w:val="Corpodotexto"/>
        <w:spacing w:lineRule="auto" w:line="3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/>
      </w:r>
    </w:p>
    <w:p>
      <w:pPr>
        <w:pStyle w:val="Corpodotexto"/>
        <w:spacing w:lineRule="auto" w:line="3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/>
      </w:r>
    </w:p>
    <w:p>
      <w:pPr>
        <w:pStyle w:val="Corpodotexto"/>
        <w:spacing w:lineRule="auto" w:line="3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/>
      </w:r>
    </w:p>
    <w:p>
      <w:pPr>
        <w:pStyle w:val="Corpodotexto"/>
        <w:spacing w:lineRule="auto" w:line="3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/>
      </w:r>
    </w:p>
    <w:p>
      <w:pPr>
        <w:pStyle w:val="Normal"/>
        <w:spacing w:lineRule="auto" w:line="3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cs="Noto Serif" w:ascii="Noto Serif" w:hAnsi="Noto Serif"/>
          <w:sz w:val="22"/>
          <w:szCs w:val="22"/>
        </w:rPr>
        <w:tab/>
        <w:t>Dessa forma, aguardamos o pronunciamento favorável desta Colenda Câmara à proposição em tela.</w:t>
        <w:tab/>
        <w:t>Ao ensejo, renovamos protestos de elevado apreço e consideração.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cs="Noto Serif" w:ascii="Noto Serif" w:hAnsi="Noto Serif"/>
          <w:sz w:val="22"/>
          <w:szCs w:val="22"/>
        </w:rPr>
        <w:t xml:space="preserve"> </w:t>
      </w:r>
      <w:r>
        <w:rPr>
          <w:rFonts w:cs="Noto Serif" w:ascii="Noto Serif" w:hAnsi="Noto Serif"/>
          <w:sz w:val="22"/>
          <w:szCs w:val="22"/>
        </w:rPr>
        <w:tab/>
        <w:t>Atenciosamente,</w:t>
      </w:r>
    </w:p>
    <w:tbl>
      <w:tblPr>
        <w:tblW w:w="9188" w:type="dxa"/>
        <w:jc w:val="left"/>
        <w:tblInd w:w="-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756"/>
        <w:gridCol w:w="5431"/>
      </w:tblGrid>
      <w:tr>
        <w:trPr/>
        <w:tc>
          <w:tcPr>
            <w:tcW w:w="3756" w:type="dxa"/>
            <w:tcBorders/>
          </w:tcPr>
          <w:p>
            <w:pPr>
              <w:pStyle w:val="Normal"/>
              <w:widowControl w:val="false"/>
              <w:snapToGrid w:val="false"/>
              <w:spacing w:lineRule="auto" w:line="360" w:before="0" w:after="160"/>
              <w:jc w:val="both"/>
              <w:rPr>
                <w:rFonts w:ascii="Noto Serif" w:hAnsi="Noto Serif" w:cs="Noto Serif"/>
                <w:sz w:val="22"/>
                <w:szCs w:val="22"/>
              </w:rPr>
            </w:pPr>
            <w:r>
              <w:rPr>
                <w:rFonts w:cs="Noto Serif" w:ascii="Noto Serif" w:hAnsi="Noto Serif"/>
                <w:sz w:val="22"/>
                <w:szCs w:val="22"/>
              </w:rPr>
            </w:r>
          </w:p>
        </w:tc>
        <w:tc>
          <w:tcPr>
            <w:tcW w:w="5431" w:type="dxa"/>
            <w:tcBorders/>
          </w:tcPr>
          <w:p>
            <w:pPr>
              <w:pStyle w:val="Normal"/>
              <w:widowControl w:val="false"/>
              <w:spacing w:lineRule="auto" w:line="276"/>
              <w:jc w:val="right"/>
              <w:rPr>
                <w:rFonts w:ascii="Noto Serif" w:hAnsi="Noto Serif"/>
                <w:i w:val="false"/>
                <w:i w:val="false"/>
                <w:iCs w:val="false"/>
                <w:sz w:val="22"/>
                <w:szCs w:val="22"/>
              </w:rPr>
            </w:pPr>
            <w:r>
              <w:rPr>
                <w:rFonts w:cs="Noto Serif" w:ascii="Noto Serif" w:hAnsi="Noto Serif"/>
                <w:b/>
                <w:i w:val="false"/>
                <w:iCs w:val="false"/>
                <w:sz w:val="22"/>
                <w:szCs w:val="22"/>
              </w:rPr>
              <w:t>JERRI ADRIANI MENEGHETTI</w:t>
            </w:r>
            <w:r>
              <w:rPr>
                <w:rFonts w:cs="Noto Serif" w:ascii="Noto Serif" w:hAnsi="Noto Serif"/>
                <w:i w:val="false"/>
                <w:iCs w:val="false"/>
                <w:sz w:val="22"/>
                <w:szCs w:val="22"/>
              </w:rPr>
              <w:t>,</w:t>
            </w:r>
          </w:p>
          <w:p>
            <w:pPr>
              <w:pStyle w:val="Normal"/>
              <w:widowControl w:val="false"/>
              <w:spacing w:lineRule="auto" w:line="276" w:before="0" w:after="160"/>
              <w:jc w:val="right"/>
              <w:rPr>
                <w:rFonts w:ascii="Noto Serif" w:hAnsi="Noto Serif" w:cs="Noto Serif"/>
                <w:b/>
                <w:b/>
                <w:i w:val="false"/>
                <w:i w:val="false"/>
                <w:iCs w:val="false"/>
                <w:sz w:val="22"/>
                <w:szCs w:val="22"/>
              </w:rPr>
            </w:pPr>
            <w:r>
              <w:rPr>
                <w:rFonts w:cs="Noto Serif" w:ascii="Noto Serif" w:hAnsi="Noto Serif"/>
                <w:b/>
                <w:i w:val="false"/>
                <w:iCs w:val="false"/>
                <w:sz w:val="22"/>
                <w:szCs w:val="22"/>
              </w:rPr>
              <w:t>PREFEITO MUNICIPAL.</w:t>
            </w:r>
          </w:p>
        </w:tc>
      </w:tr>
    </w:tbl>
    <w:p>
      <w:pPr>
        <w:pStyle w:val="Normal"/>
        <w:spacing w:lineRule="auto" w:line="276" w:before="0" w:after="160"/>
        <w:jc w:val="both"/>
        <w:rPr>
          <w:rFonts w:ascii="Noto Serif" w:hAnsi="Noto Serif"/>
          <w:sz w:val="22"/>
          <w:szCs w:val="22"/>
        </w:rPr>
      </w:pPr>
      <w:r>
        <w:rPr/>
      </w:r>
    </w:p>
    <w:sectPr>
      <w:type w:val="nextPage"/>
      <w:pgSz w:w="11906" w:h="16838"/>
      <w:pgMar w:left="1701" w:right="1133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Noto Serif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Ttulo1">
    <w:name w:val="Heading 1"/>
    <w:basedOn w:val="Normal"/>
    <w:link w:val="Ttulo1Char"/>
    <w:uiPriority w:val="9"/>
    <w:qFormat/>
    <w:rsid w:val="00d27535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d27535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pt-BR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"/>
    <w:qFormat/>
    <w:rsid w:val="00d27535"/>
    <w:rPr>
      <w:rFonts w:ascii="Times New Roman" w:hAnsi="Times New Roman" w:eastAsia="Times New Roman" w:cs="Times New Roman"/>
      <w:b/>
      <w:bCs/>
      <w:kern w:val="2"/>
      <w:sz w:val="48"/>
      <w:szCs w:val="48"/>
      <w:lang w:eastAsia="pt-BR"/>
    </w:rPr>
  </w:style>
  <w:style w:type="character" w:styleId="Ttulo2Char" w:customStyle="1">
    <w:name w:val="Título 2 Char"/>
    <w:basedOn w:val="DefaultParagraphFont"/>
    <w:link w:val="Ttulo2"/>
    <w:uiPriority w:val="9"/>
    <w:qFormat/>
    <w:rsid w:val="00d27535"/>
    <w:rPr>
      <w:rFonts w:ascii="Times New Roman" w:hAnsi="Times New Roman" w:eastAsia="Times New Roman" w:cs="Times New Roman"/>
      <w:b/>
      <w:bCs/>
      <w:sz w:val="36"/>
      <w:szCs w:val="36"/>
      <w:lang w:eastAsia="pt-BR"/>
    </w:rPr>
  </w:style>
  <w:style w:type="character" w:styleId="Label" w:customStyle="1">
    <w:name w:val="label"/>
    <w:basedOn w:val="DefaultParagraphFont"/>
    <w:qFormat/>
    <w:rsid w:val="00d27535"/>
    <w:rPr/>
  </w:style>
  <w:style w:type="character" w:styleId="Strong">
    <w:name w:val="Strong"/>
    <w:basedOn w:val="DefaultParagraphFont"/>
    <w:uiPriority w:val="22"/>
    <w:qFormat/>
    <w:rsid w:val="00d27535"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semiHidden/>
    <w:unhideWhenUsed/>
    <w:qFormat/>
    <w:rsid w:val="00d27535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Application>LibreOffice/7.0.4.2$Windows_X86_64 LibreOffice_project/dcf040e67528d9187c66b2379df5ea4407429775</Application>
  <AppVersion>15.0000</AppVersion>
  <Pages>4</Pages>
  <Words>573</Words>
  <Characters>3114</Characters>
  <CharactersWithSpaces>3703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2021-03-04T12:46:00Z</dcterms:created>
  <dc:creator>Rodrigo Westphalen Leusin</dc:creator>
  <dc:description/>
  <dc:language>pt-BR</dc:language>
  <cp:lastModifiedBy/>
  <cp:lastPrinted>2021-03-04T12:28:04Z</cp:lastPrinted>
  <dcterms:modified xsi:type="dcterms:W3CDTF">2021-03-04T12:28:33Z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