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4AA7E" w14:textId="68D804DE" w:rsidR="00435B0B" w:rsidRDefault="001F5F79" w:rsidP="006625AF">
      <w:pPr>
        <w:pStyle w:val="Ttulo"/>
        <w:spacing w:before="120" w:line="276" w:lineRule="auto"/>
        <w:jc w:val="center"/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 xml:space="preserve">PROJETO DE LEI Nº 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10</w:t>
      </w:r>
      <w:r w:rsidR="00103D0C"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5</w:t>
      </w: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/2025</w:t>
      </w: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57"/>
      </w:tblGrid>
      <w:tr w:rsidR="00435B0B" w14:paraId="5B511183" w14:textId="77777777">
        <w:trPr>
          <w:trHeight w:val="829"/>
        </w:trPr>
        <w:tc>
          <w:tcPr>
            <w:tcW w:w="6157" w:type="dxa"/>
          </w:tcPr>
          <w:p w14:paraId="13AD75D3" w14:textId="77777777" w:rsidR="00435B0B" w:rsidRDefault="00435B0B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8"/>
                <w:szCs w:val="8"/>
              </w:rPr>
            </w:pPr>
          </w:p>
          <w:p w14:paraId="008DCF29" w14:textId="73459806" w:rsidR="00435B0B" w:rsidRDefault="001F5F79">
            <w:pPr>
              <w:widowControl w:val="0"/>
              <w:spacing w:line="360" w:lineRule="auto"/>
              <w:jc w:val="both"/>
              <w:rPr>
                <w:rFonts w:hint="eastAsia"/>
              </w:rPr>
            </w:pPr>
            <w:r w:rsidRPr="00103D0C">
              <w:rPr>
                <w:rFonts w:ascii="Arial" w:eastAsia="Noto Serif Light" w:hAnsi="Arial" w:cs="Arial"/>
                <w:b/>
                <w:bCs/>
                <w:sz w:val="22"/>
                <w:szCs w:val="22"/>
              </w:rPr>
              <w:t>“</w:t>
            </w:r>
            <w:r w:rsidR="00103D0C" w:rsidRPr="00103D0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ALTERA OS ARTIGOS 61, 70 e 89 </w:t>
            </w:r>
            <w:r w:rsidR="00103D0C" w:rsidRPr="00103D0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white"/>
              </w:rPr>
              <w:t>DA LEI Nº</w:t>
            </w:r>
            <w:r w:rsidR="00103D0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white"/>
              </w:rPr>
              <w:t xml:space="preserve"> </w:t>
            </w:r>
            <w:r w:rsidR="00103D0C" w:rsidRPr="00103D0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white"/>
              </w:rPr>
              <w:t>1.883, DE 13 DE DEZEMBRO DE 2001</w:t>
            </w:r>
            <w:r w:rsidR="00103D0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white"/>
              </w:rPr>
              <w:t>,</w:t>
            </w:r>
            <w:r w:rsidR="006625AF"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white"/>
              </w:rPr>
              <w:t xml:space="preserve"> </w:t>
            </w:r>
            <w:r w:rsidR="00103D0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white"/>
              </w:rPr>
              <w:t>OS</w:t>
            </w:r>
            <w:r w:rsidR="00103D0C" w:rsidRPr="00103D0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white"/>
              </w:rPr>
              <w:t xml:space="preserve"> ART</w:t>
            </w:r>
            <w:r w:rsidR="00103D0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white"/>
              </w:rPr>
              <w:t>IGOS 28</w:t>
            </w:r>
            <w:r w:rsidR="006625AF"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white"/>
              </w:rPr>
              <w:t>, 29 E O ANEXO I (TABELA DE VENCIMENTOS)</w:t>
            </w:r>
            <w:r w:rsidR="00103D0C" w:rsidRPr="00103D0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highlight w:val="white"/>
              </w:rPr>
              <w:t xml:space="preserve"> DA LEI MUNICIPAL Nº 5.336, DE 20 DE FEVEREIRO DE 2024, E DÁ OUTRAS PROVIDÊNCIAS</w:t>
            </w:r>
            <w:r w:rsidR="006625A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.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”</w:t>
            </w:r>
          </w:p>
        </w:tc>
      </w:tr>
    </w:tbl>
    <w:p w14:paraId="5019C294" w14:textId="77777777" w:rsidR="00435B0B" w:rsidRDefault="00435B0B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45BEBA40" w14:textId="77777777" w:rsidR="006625AF" w:rsidRPr="006625AF" w:rsidRDefault="006625AF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074A93F7" w14:textId="77777777" w:rsidR="00435B0B" w:rsidRDefault="001F5F79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ab/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531B294B" w14:textId="77777777" w:rsidR="00435B0B" w:rsidRDefault="00435B0B">
      <w:pPr>
        <w:tabs>
          <w:tab w:val="left" w:pos="2228"/>
        </w:tabs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540C15C9" w14:textId="77777777" w:rsidR="00435B0B" w:rsidRDefault="001F5F79">
      <w:pPr>
        <w:spacing w:line="276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7ABBA70D" w14:textId="77777777" w:rsidR="00105E51" w:rsidRPr="00614C1B" w:rsidRDefault="00105E51" w:rsidP="00105E51">
      <w:pPr>
        <w:tabs>
          <w:tab w:val="left" w:pos="0"/>
        </w:tabs>
        <w:suppressAutoHyphens/>
        <w:spacing w:line="360" w:lineRule="auto"/>
        <w:ind w:left="709"/>
        <w:jc w:val="both"/>
        <w:rPr>
          <w:rFonts w:ascii="Arial" w:hAnsi="Arial" w:cs="Arial"/>
          <w:b/>
          <w:color w:val="000000"/>
          <w:sz w:val="12"/>
          <w:szCs w:val="12"/>
          <w:highlight w:val="white"/>
        </w:rPr>
      </w:pPr>
    </w:p>
    <w:p w14:paraId="446F8341" w14:textId="035D91BD" w:rsidR="00103D0C" w:rsidRPr="00105E51" w:rsidRDefault="00105E51" w:rsidP="00105E51">
      <w:pPr>
        <w:tabs>
          <w:tab w:val="left" w:pos="0"/>
        </w:tabs>
        <w:suppressAutoHyphens/>
        <w:spacing w:line="360" w:lineRule="auto"/>
        <w:jc w:val="both"/>
        <w:rPr>
          <w:rFonts w:ascii="Arial" w:hAnsi="Arial" w:cs="Arial"/>
          <w:b/>
          <w:bCs/>
          <w:color w:val="000000"/>
          <w:sz w:val="22"/>
          <w:szCs w:val="22"/>
          <w:highlight w:val="white"/>
        </w:rPr>
      </w:pPr>
      <w:r>
        <w:rPr>
          <w:rFonts w:ascii="Arial" w:hAnsi="Arial" w:cs="Arial"/>
          <w:b/>
          <w:color w:val="000000"/>
          <w:sz w:val="22"/>
          <w:szCs w:val="22"/>
          <w:highlight w:val="white"/>
        </w:rPr>
        <w:tab/>
      </w:r>
      <w:r w:rsidR="00103D0C" w:rsidRPr="00103D0C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Art. 1º </w:t>
      </w:r>
      <w:r w:rsidR="00103D0C" w:rsidRPr="00103D0C">
        <w:rPr>
          <w:rFonts w:ascii="Arial" w:hAnsi="Arial" w:cs="Arial"/>
          <w:color w:val="000000"/>
          <w:sz w:val="22"/>
          <w:szCs w:val="22"/>
          <w:highlight w:val="white"/>
        </w:rPr>
        <w:t xml:space="preserve">Os artigos 61,70 e 89 da Lei </w:t>
      </w:r>
      <w:r w:rsidR="00614C1B">
        <w:rPr>
          <w:rFonts w:ascii="Arial" w:hAnsi="Arial" w:cs="Arial"/>
          <w:color w:val="000000"/>
          <w:sz w:val="22"/>
          <w:szCs w:val="22"/>
          <w:highlight w:val="white"/>
        </w:rPr>
        <w:t xml:space="preserve">Municipal </w:t>
      </w:r>
      <w:r w:rsidR="00103D0C" w:rsidRPr="00103D0C">
        <w:rPr>
          <w:rFonts w:ascii="Arial" w:hAnsi="Arial" w:cs="Arial"/>
          <w:color w:val="000000"/>
          <w:sz w:val="22"/>
          <w:szCs w:val="22"/>
          <w:highlight w:val="white"/>
        </w:rPr>
        <w:t>nº</w:t>
      </w:r>
      <w:r w:rsidR="00614C1B">
        <w:rPr>
          <w:rFonts w:ascii="Arial" w:hAnsi="Arial" w:cs="Arial"/>
          <w:color w:val="000000"/>
          <w:sz w:val="22"/>
          <w:szCs w:val="22"/>
          <w:highlight w:val="white"/>
        </w:rPr>
        <w:t xml:space="preserve"> </w:t>
      </w:r>
      <w:r w:rsidR="00103D0C" w:rsidRPr="00103D0C">
        <w:rPr>
          <w:rFonts w:ascii="Arial" w:hAnsi="Arial" w:cs="Arial"/>
          <w:color w:val="000000"/>
          <w:sz w:val="22"/>
          <w:szCs w:val="22"/>
          <w:highlight w:val="white"/>
        </w:rPr>
        <w:t>1.883, de 13 de dezembro de 2001,</w:t>
      </w:r>
      <w:r>
        <w:rPr>
          <w:rFonts w:ascii="Arial" w:hAnsi="Arial" w:cs="Arial"/>
          <w:color w:val="000000"/>
          <w:sz w:val="22"/>
          <w:szCs w:val="22"/>
          <w:highlight w:val="white"/>
        </w:rPr>
        <w:t xml:space="preserve"> lei que </w:t>
      </w:r>
      <w:r w:rsidRPr="00105E51">
        <w:rPr>
          <w:rFonts w:ascii="Arial" w:hAnsi="Arial" w:cs="Arial"/>
          <w:color w:val="000000"/>
          <w:sz w:val="22"/>
          <w:szCs w:val="22"/>
          <w:highlight w:val="white"/>
        </w:rPr>
        <w:t>DISPÕE SOBRE O REGIME JURÍDICO DOS SERVIDORES PÚBLICOS DO MUNICÍPIO DE DOIS IRMÃOS E DÁ OUTRAS PROVIDÊNCIAS</w:t>
      </w:r>
      <w:r w:rsidRPr="00105E51">
        <w:rPr>
          <w:rFonts w:ascii="Arial" w:hAnsi="Arial" w:cs="Arial"/>
          <w:color w:val="000000"/>
          <w:sz w:val="22"/>
          <w:szCs w:val="22"/>
          <w:highlight w:val="white"/>
        </w:rPr>
        <w:t>,</w:t>
      </w:r>
      <w:r w:rsidR="00103D0C" w:rsidRPr="00105E51">
        <w:rPr>
          <w:rFonts w:ascii="Arial" w:hAnsi="Arial" w:cs="Arial"/>
          <w:color w:val="000000"/>
          <w:sz w:val="22"/>
          <w:szCs w:val="22"/>
          <w:highlight w:val="white"/>
        </w:rPr>
        <w:t xml:space="preserve"> com redação que lhe deu a legislação posterior, passam a viger com a seguinte redação:</w:t>
      </w:r>
    </w:p>
    <w:p w14:paraId="050B4010" w14:textId="77777777" w:rsidR="00103D0C" w:rsidRPr="00103D0C" w:rsidRDefault="00103D0C" w:rsidP="00103D0C">
      <w:pPr>
        <w:tabs>
          <w:tab w:val="left" w:pos="0"/>
        </w:tabs>
        <w:suppressAutoHyphens/>
        <w:spacing w:line="360" w:lineRule="auto"/>
        <w:ind w:firstLine="737"/>
        <w:jc w:val="both"/>
        <w:rPr>
          <w:rFonts w:ascii="Arial" w:hAnsi="Arial" w:cs="Arial"/>
          <w:sz w:val="12"/>
          <w:szCs w:val="12"/>
        </w:rPr>
      </w:pPr>
    </w:p>
    <w:p w14:paraId="09C74E61" w14:textId="77777777" w:rsidR="00103D0C" w:rsidRPr="002D40A1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hAnsi="Arial" w:cs="Arial"/>
          <w:i/>
          <w:iCs/>
          <w:sz w:val="22"/>
          <w:szCs w:val="22"/>
          <w:highlight w:val="white"/>
        </w:rPr>
      </w:pP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>“</w:t>
      </w: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>(...)</w:t>
      </w:r>
    </w:p>
    <w:p w14:paraId="055A4D63" w14:textId="77777777" w:rsidR="00103D0C" w:rsidRPr="002D40A1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hAnsi="Arial" w:cs="Arial"/>
          <w:i/>
          <w:iCs/>
          <w:sz w:val="12"/>
          <w:szCs w:val="12"/>
          <w:highlight w:val="white"/>
        </w:rPr>
      </w:pPr>
    </w:p>
    <w:p w14:paraId="1BA56B6C" w14:textId="1E92AB75" w:rsidR="00103D0C" w:rsidRPr="002D40A1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hAnsi="Arial" w:cs="Arial"/>
          <w:i/>
          <w:iCs/>
          <w:sz w:val="22"/>
          <w:szCs w:val="22"/>
        </w:rPr>
      </w:pP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 xml:space="preserve">Art. </w:t>
      </w: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>61</w:t>
      </w:r>
      <w:bookmarkStart w:id="5" w:name="artigo_61"/>
      <w:bookmarkEnd w:id="5"/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>.</w:t>
      </w: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> O servidor público em exercício de cargo em comissão ou função gratificada, não perceberá qualquer adicional por eventual jornada laboral excedente a legal.”</w:t>
      </w:r>
    </w:p>
    <w:p w14:paraId="3416DE42" w14:textId="4593111A" w:rsidR="00103D0C" w:rsidRPr="002D40A1" w:rsidRDefault="00103D0C" w:rsidP="00103D0C">
      <w:pPr>
        <w:tabs>
          <w:tab w:val="left" w:pos="0"/>
        </w:tabs>
        <w:suppressAutoHyphens/>
        <w:spacing w:line="360" w:lineRule="auto"/>
        <w:jc w:val="both"/>
        <w:rPr>
          <w:rFonts w:ascii="Arial" w:hAnsi="Arial" w:cs="Arial"/>
          <w:i/>
          <w:iCs/>
          <w:sz w:val="12"/>
          <w:szCs w:val="12"/>
        </w:rPr>
      </w:pPr>
    </w:p>
    <w:p w14:paraId="6C596383" w14:textId="0BEC5A67" w:rsidR="00103D0C" w:rsidRPr="002D40A1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hAnsi="Arial" w:cs="Arial"/>
          <w:i/>
          <w:iCs/>
          <w:sz w:val="12"/>
          <w:szCs w:val="12"/>
        </w:rPr>
      </w:pP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>(...)</w:t>
      </w: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br/>
      </w:r>
    </w:p>
    <w:p w14:paraId="3C4B9B1E" w14:textId="2617BC60" w:rsidR="00103D0C" w:rsidRPr="002D40A1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hAnsi="Arial" w:cs="Arial"/>
          <w:i/>
          <w:iCs/>
          <w:sz w:val="22"/>
          <w:szCs w:val="22"/>
        </w:rPr>
      </w:pP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>Art. 70</w:t>
      </w: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 xml:space="preserve">. </w:t>
      </w: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>O servidor perderá:</w:t>
      </w:r>
    </w:p>
    <w:p w14:paraId="3B8A918F" w14:textId="6B6CF99F" w:rsidR="00103D0C" w:rsidRPr="002D40A1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hAnsi="Arial" w:cs="Arial"/>
          <w:i/>
          <w:iCs/>
          <w:sz w:val="22"/>
          <w:szCs w:val="22"/>
        </w:rPr>
      </w:pP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>(…)</w:t>
      </w:r>
    </w:p>
    <w:p w14:paraId="4DFEF59D" w14:textId="4EB12A3E" w:rsidR="00103D0C" w:rsidRPr="002D40A1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hAnsi="Arial" w:cs="Arial"/>
          <w:i/>
          <w:iCs/>
          <w:sz w:val="22"/>
          <w:szCs w:val="22"/>
        </w:rPr>
      </w:pP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>II - a parcela da remuneração diária, proporcional aos atrasos, ausências e saídas antecipadas, iguais ou superiores a 05 (cinco minutos), sem prejuízo da penalidade disciplinar cabível;</w:t>
      </w:r>
    </w:p>
    <w:p w14:paraId="7303E69D" w14:textId="77777777" w:rsidR="00103D0C" w:rsidRPr="006625AF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hAnsi="Arial" w:cs="Arial"/>
          <w:i/>
          <w:iCs/>
          <w:sz w:val="6"/>
          <w:szCs w:val="6"/>
          <w:highlight w:val="white"/>
        </w:rPr>
      </w:pPr>
    </w:p>
    <w:p w14:paraId="492159A2" w14:textId="77B30859" w:rsidR="00103D0C" w:rsidRPr="002D40A1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hAnsi="Arial" w:cs="Arial"/>
          <w:i/>
          <w:iCs/>
          <w:sz w:val="22"/>
          <w:szCs w:val="22"/>
        </w:rPr>
      </w:pPr>
      <w:r w:rsidRPr="002D40A1">
        <w:rPr>
          <w:rFonts w:ascii="Arial" w:hAnsi="Arial" w:cs="Arial"/>
          <w:i/>
          <w:iCs/>
          <w:sz w:val="22"/>
          <w:szCs w:val="22"/>
          <w:highlight w:val="white"/>
        </w:rPr>
        <w:t>(…)</w:t>
      </w:r>
    </w:p>
    <w:p w14:paraId="1F786E46" w14:textId="77777777" w:rsidR="00103D0C" w:rsidRPr="002D40A1" w:rsidRDefault="00103D0C" w:rsidP="00103D0C">
      <w:pPr>
        <w:tabs>
          <w:tab w:val="left" w:pos="0"/>
        </w:tabs>
        <w:suppressAutoHyphens/>
        <w:spacing w:line="360" w:lineRule="auto"/>
        <w:ind w:left="850" w:firstLine="737"/>
        <w:jc w:val="both"/>
        <w:rPr>
          <w:rFonts w:ascii="Arial" w:hAnsi="Arial" w:cs="Arial"/>
          <w:i/>
          <w:iCs/>
          <w:sz w:val="12"/>
          <w:szCs w:val="12"/>
        </w:rPr>
      </w:pPr>
    </w:p>
    <w:p w14:paraId="15D9CBFC" w14:textId="77A26498" w:rsidR="00103D0C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eastAsia="DejaVu Sans" w:hAnsi="Arial" w:cs="Arial"/>
          <w:i/>
          <w:iCs/>
          <w:sz w:val="22"/>
          <w:szCs w:val="22"/>
        </w:rPr>
      </w:pPr>
      <w:r w:rsidRPr="002D40A1">
        <w:rPr>
          <w:rFonts w:ascii="Arial" w:eastAsia="DejaVu Sans" w:hAnsi="Arial" w:cs="Arial"/>
          <w:i/>
          <w:iCs/>
          <w:sz w:val="22"/>
          <w:szCs w:val="22"/>
        </w:rPr>
        <w:t>“Art. 89</w:t>
      </w:r>
      <w:r w:rsidRPr="002D40A1">
        <w:rPr>
          <w:rFonts w:ascii="Arial" w:eastAsia="DejaVu Sans" w:hAnsi="Arial" w:cs="Arial"/>
          <w:i/>
          <w:iCs/>
          <w:sz w:val="22"/>
          <w:szCs w:val="22"/>
        </w:rPr>
        <w:t>.</w:t>
      </w:r>
      <w:r w:rsidRPr="002D40A1">
        <w:rPr>
          <w:rFonts w:ascii="Arial" w:eastAsia="DejaVu Sans" w:hAnsi="Arial" w:cs="Arial"/>
          <w:i/>
          <w:iCs/>
          <w:sz w:val="22"/>
          <w:szCs w:val="22"/>
        </w:rPr>
        <w:t xml:space="preserve"> O adicional por tempo de serviço é devido à razão de um por cento por ano de serviço público ininterrupto prestado ao Município, incidente sobre o vencimento da classe A do servidor ocupante de cargo efetivo.”</w:t>
      </w:r>
    </w:p>
    <w:p w14:paraId="457AE44A" w14:textId="77777777" w:rsidR="006625AF" w:rsidRPr="006625AF" w:rsidRDefault="006625AF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hAnsi="Arial" w:cs="Arial"/>
          <w:i/>
          <w:iCs/>
          <w:sz w:val="12"/>
          <w:szCs w:val="12"/>
        </w:rPr>
      </w:pPr>
    </w:p>
    <w:p w14:paraId="66110621" w14:textId="40FBF288" w:rsidR="00103D0C" w:rsidRPr="00614C1B" w:rsidRDefault="00614C1B" w:rsidP="006625AF">
      <w:pPr>
        <w:tabs>
          <w:tab w:val="left" w:pos="0"/>
        </w:tabs>
        <w:suppressAutoHyphens/>
        <w:spacing w:before="120" w:after="120" w:line="360" w:lineRule="auto"/>
        <w:jc w:val="both"/>
        <w:rPr>
          <w:rFonts w:ascii="Arial" w:eastAsia="DejaVu Sans" w:hAnsi="Arial" w:cs="Arial"/>
          <w:sz w:val="22"/>
          <w:szCs w:val="22"/>
        </w:rPr>
      </w:pPr>
      <w:r>
        <w:rPr>
          <w:rFonts w:ascii="Arial" w:hAnsi="Arial" w:cs="Arial"/>
          <w:sz w:val="12"/>
          <w:szCs w:val="12"/>
        </w:rPr>
        <w:tab/>
      </w:r>
      <w:r w:rsidR="00103D0C" w:rsidRPr="00614C1B">
        <w:rPr>
          <w:rFonts w:ascii="Arial" w:eastAsia="DejaVu Sans" w:hAnsi="Arial" w:cs="Arial"/>
          <w:b/>
          <w:sz w:val="22"/>
          <w:szCs w:val="22"/>
        </w:rPr>
        <w:t xml:space="preserve">Art. 2º </w:t>
      </w:r>
      <w:r w:rsidR="00103D0C" w:rsidRPr="00614C1B">
        <w:rPr>
          <w:rFonts w:ascii="Arial" w:eastAsia="DejaVu Sans" w:hAnsi="Arial" w:cs="Arial"/>
          <w:sz w:val="22"/>
          <w:szCs w:val="22"/>
        </w:rPr>
        <w:t>Os artigos 28 e 29 da Lei Municipal nº</w:t>
      </w:r>
      <w:r w:rsidR="00103D0C" w:rsidRPr="00614C1B">
        <w:rPr>
          <w:rFonts w:ascii="Arial" w:eastAsia="DejaVu Sans" w:hAnsi="Arial" w:cs="Arial"/>
          <w:sz w:val="22"/>
          <w:szCs w:val="22"/>
        </w:rPr>
        <w:t xml:space="preserve"> </w:t>
      </w:r>
      <w:r w:rsidR="00103D0C" w:rsidRPr="00614C1B">
        <w:rPr>
          <w:rFonts w:ascii="Arial" w:eastAsia="DejaVu Sans" w:hAnsi="Arial" w:cs="Arial"/>
          <w:sz w:val="22"/>
          <w:szCs w:val="22"/>
        </w:rPr>
        <w:t>5.336, de 20 de fevereiro de 2024,</w:t>
      </w:r>
      <w:r w:rsidR="00105E51" w:rsidRPr="00614C1B">
        <w:rPr>
          <w:rFonts w:ascii="Arial" w:eastAsia="DejaVu Sans" w:hAnsi="Arial" w:cs="Arial"/>
          <w:sz w:val="22"/>
          <w:szCs w:val="22"/>
        </w:rPr>
        <w:t xml:space="preserve"> lei que </w:t>
      </w:r>
      <w:r w:rsidR="00105E51" w:rsidRPr="00614C1B">
        <w:rPr>
          <w:rFonts w:ascii="Arial" w:eastAsia="DejaVu Sans" w:hAnsi="Arial" w:cs="Arial"/>
          <w:sz w:val="22"/>
          <w:szCs w:val="22"/>
        </w:rPr>
        <w:t xml:space="preserve">DISPÕE SOBRE A REESTRUTURAÇÃO E GESTÃO DO PLANO DA CARREIRA DOS </w:t>
      </w:r>
      <w:r w:rsidR="00105E51" w:rsidRPr="00614C1B">
        <w:rPr>
          <w:rFonts w:ascii="Arial" w:eastAsia="DejaVu Sans" w:hAnsi="Arial" w:cs="Arial"/>
          <w:sz w:val="22"/>
          <w:szCs w:val="22"/>
        </w:rPr>
        <w:lastRenderedPageBreak/>
        <w:t>PROFISSIONAIS DO MAGISTÉRIO PÚBLICO DO MUNICÍPIO DE DOIS IRMÃOS, ESTADO DO RIO GRANDE DO SUL</w:t>
      </w:r>
      <w:r w:rsidR="00105E51" w:rsidRPr="00614C1B">
        <w:rPr>
          <w:rFonts w:ascii="Arial" w:eastAsia="DejaVu Sans" w:hAnsi="Arial" w:cs="Arial"/>
          <w:sz w:val="22"/>
          <w:szCs w:val="22"/>
        </w:rPr>
        <w:t xml:space="preserve">, </w:t>
      </w:r>
      <w:r w:rsidR="00103D0C" w:rsidRPr="00614C1B">
        <w:rPr>
          <w:rFonts w:ascii="Arial" w:eastAsia="DejaVu Sans" w:hAnsi="Arial" w:cs="Arial"/>
          <w:sz w:val="22"/>
          <w:szCs w:val="22"/>
        </w:rPr>
        <w:t>passa a viger com a seguinte redação:</w:t>
      </w:r>
      <w:r w:rsidR="00103D0C" w:rsidRPr="00614C1B">
        <w:rPr>
          <w:rFonts w:ascii="Arial" w:eastAsia="DejaVu Sans" w:hAnsi="Arial" w:cs="Arial"/>
          <w:sz w:val="22"/>
          <w:szCs w:val="22"/>
        </w:rPr>
        <w:tab/>
      </w:r>
    </w:p>
    <w:p w14:paraId="2C787EF9" w14:textId="77777777" w:rsidR="00103D0C" w:rsidRPr="006625AF" w:rsidRDefault="00103D0C" w:rsidP="00103D0C">
      <w:pPr>
        <w:tabs>
          <w:tab w:val="left" w:pos="0"/>
        </w:tabs>
        <w:suppressAutoHyphens/>
        <w:spacing w:line="360" w:lineRule="auto"/>
        <w:jc w:val="both"/>
        <w:rPr>
          <w:rFonts w:ascii="Arial" w:eastAsia="DejaVu Sans" w:hAnsi="Arial" w:cs="Arial"/>
          <w:sz w:val="12"/>
          <w:szCs w:val="12"/>
        </w:rPr>
      </w:pPr>
    </w:p>
    <w:p w14:paraId="4593948A" w14:textId="217D6A32" w:rsidR="00103D0C" w:rsidRPr="002D40A1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eastAsia="DejaVu Sans" w:hAnsi="Arial" w:cs="Arial"/>
          <w:i/>
          <w:iCs/>
          <w:sz w:val="22"/>
          <w:szCs w:val="22"/>
        </w:rPr>
      </w:pPr>
      <w:r w:rsidRPr="002D40A1">
        <w:rPr>
          <w:rFonts w:ascii="Arial" w:eastAsia="DejaVu Sans" w:hAnsi="Arial" w:cs="Arial"/>
          <w:i/>
          <w:iCs/>
          <w:sz w:val="22"/>
          <w:szCs w:val="22"/>
        </w:rPr>
        <w:t>“Art. 28</w:t>
      </w:r>
      <w:r w:rsidRPr="002D40A1">
        <w:rPr>
          <w:rFonts w:ascii="Arial" w:eastAsia="DejaVu Sans" w:hAnsi="Arial" w:cs="Arial"/>
          <w:i/>
          <w:iCs/>
          <w:sz w:val="22"/>
          <w:szCs w:val="22"/>
        </w:rPr>
        <w:t>.</w:t>
      </w:r>
      <w:r w:rsidRPr="002D40A1">
        <w:rPr>
          <w:rFonts w:ascii="Arial" w:eastAsia="DejaVu Sans" w:hAnsi="Arial" w:cs="Arial"/>
          <w:i/>
          <w:iCs/>
          <w:sz w:val="22"/>
          <w:szCs w:val="22"/>
        </w:rPr>
        <w:t xml:space="preserve"> O vencimento inicial de cada cargo é aquele apresentado no Anexo I, parte integrante desta Lei, no menor nível de cada cargo, na Classe A, e terá sua evolução a partir das regras de Elevação por Titulação, conforme critérios definidos nesta Lei.”</w:t>
      </w:r>
    </w:p>
    <w:p w14:paraId="49B642C1" w14:textId="77777777" w:rsidR="00103D0C" w:rsidRPr="00424602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eastAsia="DejaVu Sans" w:hAnsi="Arial" w:cs="Arial"/>
          <w:i/>
          <w:iCs/>
          <w:sz w:val="12"/>
          <w:szCs w:val="12"/>
        </w:rPr>
      </w:pPr>
      <w:r w:rsidRPr="002D40A1">
        <w:rPr>
          <w:rFonts w:ascii="Arial" w:eastAsia="DejaVu Sans" w:hAnsi="Arial" w:cs="Arial"/>
          <w:i/>
          <w:iCs/>
          <w:sz w:val="22"/>
          <w:szCs w:val="22"/>
        </w:rPr>
        <w:tab/>
      </w:r>
      <w:r w:rsidRPr="002D40A1">
        <w:rPr>
          <w:rFonts w:ascii="Arial" w:eastAsia="DejaVu Sans" w:hAnsi="Arial" w:cs="Arial"/>
          <w:i/>
          <w:iCs/>
          <w:sz w:val="22"/>
          <w:szCs w:val="22"/>
        </w:rPr>
        <w:tab/>
      </w:r>
    </w:p>
    <w:p w14:paraId="702BD109" w14:textId="6FFE95B0" w:rsidR="00103D0C" w:rsidRPr="002D40A1" w:rsidRDefault="00103D0C" w:rsidP="00103D0C">
      <w:pPr>
        <w:tabs>
          <w:tab w:val="left" w:pos="0"/>
        </w:tabs>
        <w:suppressAutoHyphens/>
        <w:spacing w:line="360" w:lineRule="auto"/>
        <w:ind w:left="850"/>
        <w:jc w:val="both"/>
        <w:rPr>
          <w:rFonts w:ascii="Arial" w:eastAsia="DejaVu Sans" w:hAnsi="Arial" w:cs="Arial"/>
          <w:i/>
          <w:iCs/>
          <w:sz w:val="22"/>
          <w:szCs w:val="22"/>
        </w:rPr>
      </w:pPr>
      <w:r w:rsidRPr="002D40A1">
        <w:rPr>
          <w:rFonts w:ascii="Arial" w:eastAsia="DejaVu Sans" w:hAnsi="Arial" w:cs="Arial"/>
          <w:i/>
          <w:iCs/>
          <w:sz w:val="22"/>
          <w:szCs w:val="22"/>
        </w:rPr>
        <w:t>Art. 29</w:t>
      </w:r>
      <w:r w:rsidRPr="002D40A1">
        <w:rPr>
          <w:rFonts w:ascii="Arial" w:eastAsia="DejaVu Sans" w:hAnsi="Arial" w:cs="Arial"/>
          <w:i/>
          <w:iCs/>
          <w:sz w:val="22"/>
          <w:szCs w:val="22"/>
        </w:rPr>
        <w:t>.</w:t>
      </w:r>
      <w:r w:rsidRPr="002D40A1">
        <w:rPr>
          <w:rFonts w:ascii="Arial" w:eastAsia="DejaVu Sans" w:hAnsi="Arial" w:cs="Arial"/>
          <w:i/>
          <w:iCs/>
          <w:sz w:val="22"/>
          <w:szCs w:val="22"/>
        </w:rPr>
        <w:t xml:space="preserve"> </w:t>
      </w:r>
      <w:bookmarkStart w:id="6" w:name="artigo_29"/>
      <w:bookmarkEnd w:id="6"/>
      <w:r w:rsidRPr="002D40A1">
        <w:rPr>
          <w:rFonts w:ascii="Arial" w:eastAsia="DejaVu Sans" w:hAnsi="Arial" w:cs="Arial"/>
          <w:i/>
          <w:iCs/>
          <w:sz w:val="22"/>
          <w:szCs w:val="22"/>
        </w:rPr>
        <w:t>O Adicional por Tempo de Serviço será concedido a cada ano de efetivo exercício do cargo até o limite de 35 (trinta e cinco) concessões, e garantirá o acréscimo de 1% (um por cento) sobre o vencimento básico do profissional do magistério, Classe A, do nível em que o servidor se enquadra.”</w:t>
      </w:r>
    </w:p>
    <w:p w14:paraId="5BFF27D3" w14:textId="77777777" w:rsidR="00103D0C" w:rsidRPr="00424602" w:rsidRDefault="00103D0C" w:rsidP="00103D0C">
      <w:pPr>
        <w:tabs>
          <w:tab w:val="left" w:pos="0"/>
        </w:tabs>
        <w:suppressAutoHyphens/>
        <w:spacing w:line="360" w:lineRule="auto"/>
        <w:ind w:firstLine="1077"/>
        <w:jc w:val="both"/>
        <w:rPr>
          <w:rFonts w:ascii="Arial" w:hAnsi="Arial" w:cs="Arial"/>
          <w:sz w:val="12"/>
          <w:szCs w:val="12"/>
        </w:rPr>
      </w:pPr>
    </w:p>
    <w:p w14:paraId="6EED4DA0" w14:textId="74403E14" w:rsidR="006625AF" w:rsidRDefault="00103D0C" w:rsidP="00103D0C">
      <w:pPr>
        <w:tabs>
          <w:tab w:val="left" w:pos="0"/>
        </w:tabs>
        <w:suppressAutoHyphens/>
        <w:spacing w:line="360" w:lineRule="auto"/>
        <w:jc w:val="both"/>
        <w:rPr>
          <w:rFonts w:ascii="Arial" w:eastAsia="DejaVu Sans" w:hAnsi="Arial" w:cs="Arial"/>
          <w:b/>
          <w:bCs/>
          <w:sz w:val="22"/>
          <w:szCs w:val="22"/>
        </w:rPr>
      </w:pPr>
      <w:r>
        <w:rPr>
          <w:rFonts w:ascii="Arial" w:eastAsia="DejaVu Sans" w:hAnsi="Arial" w:cs="Arial"/>
          <w:color w:val="333333"/>
          <w:sz w:val="22"/>
          <w:szCs w:val="22"/>
        </w:rPr>
        <w:tab/>
      </w:r>
      <w:r w:rsidRPr="006625AF">
        <w:rPr>
          <w:rFonts w:ascii="Arial" w:eastAsia="DejaVu Sans" w:hAnsi="Arial" w:cs="Arial"/>
          <w:b/>
          <w:bCs/>
          <w:sz w:val="22"/>
          <w:szCs w:val="22"/>
        </w:rPr>
        <w:t xml:space="preserve">Art. 3º </w:t>
      </w:r>
      <w:r w:rsidR="006625AF" w:rsidRPr="006625AF">
        <w:rPr>
          <w:rFonts w:ascii="Arial" w:eastAsia="DejaVu Sans" w:hAnsi="Arial" w:cs="Arial"/>
          <w:sz w:val="22"/>
          <w:szCs w:val="22"/>
        </w:rPr>
        <w:t xml:space="preserve">O Anexo I da Lei Municipal nº 5.336, de 20 de fevereiro de 2024, passa a </w:t>
      </w:r>
      <w:r w:rsidR="006625AF">
        <w:rPr>
          <w:rFonts w:ascii="Arial" w:eastAsia="DejaVu Sans" w:hAnsi="Arial" w:cs="Arial"/>
          <w:sz w:val="22"/>
          <w:szCs w:val="22"/>
        </w:rPr>
        <w:t>vigorar com a alteração constante do Anexo Único desta Lei.</w:t>
      </w:r>
    </w:p>
    <w:p w14:paraId="30C07B6C" w14:textId="77777777" w:rsidR="006625AF" w:rsidRPr="006625AF" w:rsidRDefault="006625AF" w:rsidP="00103D0C">
      <w:pPr>
        <w:tabs>
          <w:tab w:val="left" w:pos="0"/>
        </w:tabs>
        <w:suppressAutoHyphens/>
        <w:spacing w:line="360" w:lineRule="auto"/>
        <w:jc w:val="both"/>
        <w:rPr>
          <w:rFonts w:ascii="Arial" w:eastAsia="DejaVu Sans" w:hAnsi="Arial" w:cs="Arial"/>
          <w:b/>
          <w:bCs/>
          <w:sz w:val="12"/>
          <w:szCs w:val="12"/>
        </w:rPr>
      </w:pPr>
    </w:p>
    <w:p w14:paraId="66A7B6AC" w14:textId="4FFABEE2" w:rsidR="00103D0C" w:rsidRPr="006625AF" w:rsidRDefault="006625AF" w:rsidP="00103D0C">
      <w:pPr>
        <w:tabs>
          <w:tab w:val="left" w:pos="0"/>
        </w:tabs>
        <w:suppressAutoHyphens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DejaVu Sans" w:hAnsi="Arial" w:cs="Arial"/>
          <w:b/>
          <w:bCs/>
          <w:sz w:val="22"/>
          <w:szCs w:val="22"/>
        </w:rPr>
        <w:tab/>
        <w:t xml:space="preserve">Art. 4º </w:t>
      </w:r>
      <w:r w:rsidR="00103D0C" w:rsidRPr="006625AF">
        <w:rPr>
          <w:rFonts w:ascii="Arial" w:hAnsi="Arial" w:cs="Arial"/>
          <w:sz w:val="22"/>
          <w:szCs w:val="22"/>
          <w:highlight w:val="white"/>
        </w:rPr>
        <w:t>Revoga-se as disposições em contrário.</w:t>
      </w:r>
    </w:p>
    <w:p w14:paraId="4B17C956" w14:textId="77777777" w:rsidR="00103D0C" w:rsidRPr="00424602" w:rsidRDefault="00103D0C" w:rsidP="00103D0C">
      <w:pPr>
        <w:tabs>
          <w:tab w:val="left" w:pos="0"/>
        </w:tabs>
        <w:suppressAutoHyphens/>
        <w:spacing w:line="360" w:lineRule="auto"/>
        <w:ind w:firstLine="1077"/>
        <w:jc w:val="both"/>
        <w:rPr>
          <w:rFonts w:ascii="Arial" w:hAnsi="Arial" w:cs="Arial"/>
          <w:sz w:val="12"/>
          <w:szCs w:val="12"/>
        </w:rPr>
      </w:pPr>
      <w:r w:rsidRPr="006625AF">
        <w:rPr>
          <w:rFonts w:ascii="Arial" w:eastAsia="DejaVu Sans" w:hAnsi="Arial" w:cs="Arial"/>
          <w:b/>
          <w:bCs/>
          <w:sz w:val="22"/>
          <w:szCs w:val="22"/>
          <w:shd w:val="clear" w:color="auto" w:fill="FFFFFF"/>
        </w:rPr>
        <w:t xml:space="preserve">            </w:t>
      </w:r>
    </w:p>
    <w:p w14:paraId="6A93D4D0" w14:textId="6E9EA79B" w:rsidR="00103D0C" w:rsidRPr="006625AF" w:rsidRDefault="00103D0C" w:rsidP="00103D0C">
      <w:pPr>
        <w:tabs>
          <w:tab w:val="left" w:pos="0"/>
        </w:tabs>
        <w:suppressAutoHyphens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625AF">
        <w:rPr>
          <w:rFonts w:ascii="Arial" w:eastAsia="DejaVu Sans" w:hAnsi="Arial" w:cs="Arial"/>
          <w:b/>
          <w:bCs/>
          <w:sz w:val="22"/>
          <w:szCs w:val="22"/>
        </w:rPr>
        <w:tab/>
      </w:r>
      <w:r w:rsidRPr="006625AF">
        <w:rPr>
          <w:rFonts w:ascii="Arial" w:eastAsia="DejaVu Sans" w:hAnsi="Arial" w:cs="Arial"/>
          <w:b/>
          <w:bCs/>
          <w:sz w:val="22"/>
          <w:szCs w:val="22"/>
        </w:rPr>
        <w:t xml:space="preserve">Art. </w:t>
      </w:r>
      <w:r w:rsidR="006625AF">
        <w:rPr>
          <w:rFonts w:ascii="Arial" w:eastAsia="DejaVu Sans" w:hAnsi="Arial" w:cs="Arial"/>
          <w:b/>
          <w:bCs/>
          <w:sz w:val="22"/>
          <w:szCs w:val="22"/>
        </w:rPr>
        <w:t>5</w:t>
      </w:r>
      <w:r w:rsidRPr="006625AF">
        <w:rPr>
          <w:rFonts w:ascii="Arial" w:eastAsia="DejaVu Sans" w:hAnsi="Arial" w:cs="Arial"/>
          <w:b/>
          <w:bCs/>
          <w:sz w:val="22"/>
          <w:szCs w:val="22"/>
        </w:rPr>
        <w:t xml:space="preserve">º </w:t>
      </w:r>
      <w:r w:rsidRPr="006625AF">
        <w:rPr>
          <w:rFonts w:ascii="Arial" w:eastAsia="DejaVu Sans" w:hAnsi="Arial" w:cs="Arial"/>
          <w:sz w:val="22"/>
          <w:szCs w:val="22"/>
        </w:rPr>
        <w:t xml:space="preserve">Esta Lei entra em vigor na data de sua publicação. </w:t>
      </w:r>
    </w:p>
    <w:p w14:paraId="6F628668" w14:textId="77777777" w:rsidR="00435B0B" w:rsidRDefault="00435B0B">
      <w:pPr>
        <w:spacing w:line="360" w:lineRule="auto"/>
        <w:jc w:val="both"/>
        <w:rPr>
          <w:rFonts w:ascii="Arial" w:eastAsia="Noto Serif Light" w:hAnsi="Arial" w:cs="Noto Serif Light"/>
          <w:color w:val="000000"/>
          <w:sz w:val="12"/>
          <w:szCs w:val="12"/>
        </w:rPr>
      </w:pPr>
    </w:p>
    <w:p w14:paraId="31CB4662" w14:textId="77777777" w:rsidR="00435B0B" w:rsidRDefault="001F5F79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ab/>
      </w:r>
      <w:bookmarkStart w:id="7" w:name="OLE_LINK5"/>
      <w:bookmarkStart w:id="8" w:name="OLE_LINK51"/>
      <w:bookmarkStart w:id="9" w:name="OLE_LINK161"/>
      <w:bookmarkStart w:id="10" w:name="OLE_LINK41"/>
      <w:bookmarkStart w:id="11" w:name="OLE_LINK21"/>
      <w:r>
        <w:rPr>
          <w:rFonts w:ascii="Arial" w:eastAsia="Noto Serif Light" w:hAnsi="Arial" w:cs="Noto Serif Light"/>
          <w:color w:val="000000"/>
          <w:sz w:val="22"/>
          <w:szCs w:val="22"/>
        </w:rPr>
        <w:t>GABINETE DO PREFEITO MUNICIPAL DE DOIS IRMÃOS/RS, EM 11 DE SETEMBRO DE 2025.</w:t>
      </w:r>
    </w:p>
    <w:p w14:paraId="5E57E827" w14:textId="77777777" w:rsidR="00435B0B" w:rsidRDefault="00435B0B">
      <w:pPr>
        <w:spacing w:line="360" w:lineRule="auto"/>
        <w:jc w:val="both"/>
        <w:rPr>
          <w:rFonts w:hint="eastAsia"/>
        </w:rPr>
      </w:pPr>
    </w:p>
    <w:p w14:paraId="6D72161A" w14:textId="77777777" w:rsidR="00435B0B" w:rsidRDefault="001F5F79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</w:p>
    <w:p w14:paraId="4CC6DFE7" w14:textId="77777777" w:rsidR="00435B0B" w:rsidRDefault="001F5F79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p w14:paraId="04886F86" w14:textId="77777777" w:rsidR="00435B0B" w:rsidRDefault="00435B0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color w:val="000000"/>
          <w:sz w:val="22"/>
          <w:szCs w:val="22"/>
        </w:rPr>
      </w:pPr>
    </w:p>
    <w:p w14:paraId="012B098D" w14:textId="77777777" w:rsidR="00435B0B" w:rsidRDefault="00435B0B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3D0612C" w14:textId="77777777" w:rsidR="002D40A1" w:rsidRDefault="002D40A1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D1599F7" w14:textId="77777777" w:rsidR="002D40A1" w:rsidRDefault="002D40A1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2CCD325" w14:textId="77777777" w:rsidR="002D40A1" w:rsidRDefault="002D40A1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DD6B776" w14:textId="77777777" w:rsidR="002D40A1" w:rsidRDefault="002D40A1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274953E" w14:textId="77777777" w:rsidR="002D40A1" w:rsidRDefault="002D40A1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F4221FD" w14:textId="77777777" w:rsidR="006625AF" w:rsidRDefault="006625AF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0262AD3" w14:textId="77777777" w:rsidR="006625AF" w:rsidRDefault="006625AF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A9CA928" w14:textId="77777777" w:rsidR="002D40A1" w:rsidRDefault="002D40A1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4BA5C32" w14:textId="77777777" w:rsidR="00424602" w:rsidRDefault="00424602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982633A" w14:textId="77777777" w:rsidR="00424602" w:rsidRDefault="00424602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1815A6B" w14:textId="77777777" w:rsidR="002D40A1" w:rsidRDefault="002D40A1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056B142" w14:textId="77777777" w:rsidR="002D40A1" w:rsidRDefault="002D40A1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3EE32F9" w14:textId="77777777" w:rsidR="00435B0B" w:rsidRDefault="001F5F79">
      <w:pPr>
        <w:spacing w:line="360" w:lineRule="auto"/>
        <w:jc w:val="center"/>
        <w:rPr>
          <w:rFonts w:hint="eastAsia"/>
        </w:rPr>
      </w:pPr>
      <w:r>
        <w:rPr>
          <w:rFonts w:ascii="Arial" w:eastAsia="Noto Serif Light" w:hAnsi="Arial" w:cs="Noto Serif Light"/>
          <w:b/>
          <w:color w:val="000000"/>
          <w:sz w:val="22"/>
          <w:szCs w:val="22"/>
        </w:rPr>
        <w:lastRenderedPageBreak/>
        <w:t>E</w:t>
      </w:r>
      <w:bookmarkStart w:id="12" w:name="OLE_LINK52"/>
      <w:bookmarkStart w:id="13" w:name="OLE_LINK6"/>
      <w:bookmarkStart w:id="14" w:name="OLE_LINK8"/>
      <w:bookmarkStart w:id="15" w:name="OLE_LINK18"/>
      <w:bookmarkStart w:id="16" w:name="OLE_LINK7"/>
      <w:r>
        <w:rPr>
          <w:rFonts w:ascii="Arial" w:eastAsia="Noto Serif Light" w:hAnsi="Arial" w:cs="Noto Serif Light"/>
          <w:b/>
          <w:color w:val="000000"/>
          <w:sz w:val="22"/>
          <w:szCs w:val="22"/>
        </w:rPr>
        <w:t>XPOSIÇÃO DE MOTIVOS</w:t>
      </w:r>
    </w:p>
    <w:p w14:paraId="44266F45" w14:textId="77777777" w:rsidR="00435B0B" w:rsidRDefault="00435B0B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1878ABA" w14:textId="70460751" w:rsidR="00435B0B" w:rsidRDefault="001F5F79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color w:val="000000"/>
          <w:sz w:val="22"/>
          <w:szCs w:val="22"/>
        </w:rPr>
        <w:tab/>
      </w:r>
      <w:r>
        <w:rPr>
          <w:rFonts w:ascii="Arial" w:eastAsia="Noto Serif Light" w:hAnsi="Arial" w:cs="Noto Serif Light"/>
          <w:color w:val="000000"/>
          <w:sz w:val="22"/>
          <w:szCs w:val="22"/>
        </w:rPr>
        <w:t>Encaminhamos o presente Projeto de Lei nº 10</w:t>
      </w:r>
      <w:r w:rsidR="002D40A1">
        <w:rPr>
          <w:rFonts w:ascii="Arial" w:eastAsia="Noto Serif Light" w:hAnsi="Arial" w:cs="Noto Serif Light"/>
          <w:color w:val="000000"/>
          <w:sz w:val="22"/>
          <w:szCs w:val="22"/>
        </w:rPr>
        <w:t>5</w:t>
      </w:r>
      <w:r>
        <w:rPr>
          <w:rFonts w:ascii="Arial" w:eastAsia="Noto Serif Light" w:hAnsi="Arial" w:cs="Noto Serif Light"/>
          <w:color w:val="000000"/>
          <w:sz w:val="22"/>
          <w:szCs w:val="22"/>
        </w:rPr>
        <w:t>/2025 que “</w:t>
      </w:r>
      <w:r w:rsidR="0075654E" w:rsidRPr="00103D0C">
        <w:rPr>
          <w:rFonts w:ascii="Arial" w:hAnsi="Arial" w:cs="Arial"/>
          <w:b/>
          <w:bCs/>
          <w:color w:val="000000"/>
          <w:sz w:val="22"/>
          <w:szCs w:val="22"/>
        </w:rPr>
        <w:t xml:space="preserve">ALTERA OS ARTIGOS 61, 70 e 89 </w:t>
      </w:r>
      <w:r w:rsidR="0075654E" w:rsidRPr="00103D0C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>DA LEI Nº</w:t>
      </w:r>
      <w:r w:rsidR="0075654E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 xml:space="preserve"> </w:t>
      </w:r>
      <w:r w:rsidR="0075654E" w:rsidRPr="00103D0C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>1.883, DE 13 DE DEZEMBRO DE 2001</w:t>
      </w:r>
      <w:r w:rsidR="0075654E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>, OS</w:t>
      </w:r>
      <w:r w:rsidR="0075654E" w:rsidRPr="00103D0C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 xml:space="preserve"> ART</w:t>
      </w:r>
      <w:r w:rsidR="0075654E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>IGOS 28, 29 E O ANEXO I (TABELA DE VENCIMENTOS)</w:t>
      </w:r>
      <w:r w:rsidR="0075654E" w:rsidRPr="00103D0C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 xml:space="preserve"> DA LEI MUNICIPAL Nº 5.336, DE 20 DE FEVEREIRO DE 2024, E DÁ OUTRAS PROVIDÊNCIAS</w:t>
      </w:r>
      <w:r w:rsidR="0075654E">
        <w:rPr>
          <w:rFonts w:ascii="Arial" w:hAnsi="Arial" w:cs="Arial"/>
          <w:b/>
          <w:bCs/>
          <w:color w:val="000000"/>
          <w:sz w:val="22"/>
          <w:szCs w:val="22"/>
        </w:rPr>
        <w:t>.</w:t>
      </w:r>
      <w:r>
        <w:rPr>
          <w:rFonts w:ascii="Arial" w:eastAsia="Noto Serif Light" w:hAnsi="Arial" w:cs="Noto Serif Light"/>
          <w:color w:val="000000"/>
          <w:sz w:val="22"/>
          <w:szCs w:val="22"/>
        </w:rPr>
        <w:t>” para apreciação e deliberação dos senhores Edis.</w:t>
      </w:r>
    </w:p>
    <w:p w14:paraId="17E1C130" w14:textId="77777777" w:rsidR="00435B0B" w:rsidRPr="0075654E" w:rsidRDefault="00435B0B">
      <w:pPr>
        <w:spacing w:line="360" w:lineRule="auto"/>
        <w:jc w:val="both"/>
        <w:rPr>
          <w:rFonts w:ascii="Arial" w:eastAsia="Noto Serif Light" w:hAnsi="Arial" w:cs="Noto Serif Light"/>
          <w:color w:val="000000"/>
          <w:sz w:val="18"/>
          <w:szCs w:val="18"/>
        </w:rPr>
      </w:pPr>
    </w:p>
    <w:p w14:paraId="28C9C0D4" w14:textId="01871504" w:rsidR="006625AF" w:rsidRDefault="001F5F79">
      <w:pPr>
        <w:pStyle w:val="LO-Normal"/>
        <w:spacing w:line="360" w:lineRule="auto"/>
        <w:jc w:val="both"/>
        <w:rPr>
          <w:rFonts w:ascii="Arial" w:eastAsia="Noto Serif Light" w:hAnsi="Arial" w:cs="Arial"/>
          <w:color w:val="000000"/>
          <w:sz w:val="22"/>
          <w:szCs w:val="22"/>
        </w:rPr>
      </w:pPr>
      <w:r>
        <w:rPr>
          <w:rFonts w:ascii="Arial" w:eastAsia="Noto Serif Light" w:hAnsi="Arial" w:cs="Arial"/>
          <w:color w:val="000000"/>
          <w:sz w:val="22"/>
          <w:szCs w:val="22"/>
        </w:rPr>
        <w:tab/>
        <w:t xml:space="preserve">A presente proposição foi apresentada </w:t>
      </w:r>
      <w:r w:rsidR="00EB7948">
        <w:rPr>
          <w:rFonts w:ascii="Arial" w:eastAsia="Noto Serif Light" w:hAnsi="Arial" w:cs="Arial"/>
          <w:color w:val="000000"/>
          <w:sz w:val="22"/>
          <w:szCs w:val="22"/>
        </w:rPr>
        <w:t>em conjunto pela</w:t>
      </w:r>
      <w:r>
        <w:rPr>
          <w:rFonts w:ascii="Arial" w:eastAsia="Noto Serif Light" w:hAnsi="Arial" w:cs="Arial"/>
          <w:color w:val="000000"/>
          <w:sz w:val="22"/>
          <w:szCs w:val="22"/>
        </w:rPr>
        <w:t xml:space="preserve"> Secretaria Municipal </w:t>
      </w:r>
      <w:r w:rsidR="006625AF">
        <w:rPr>
          <w:rFonts w:ascii="Arial" w:eastAsia="Noto Serif Light" w:hAnsi="Arial" w:cs="Arial"/>
          <w:color w:val="000000"/>
          <w:sz w:val="22"/>
          <w:szCs w:val="22"/>
        </w:rPr>
        <w:t>de Administração com o Departamento de Recursos Humanos.</w:t>
      </w:r>
    </w:p>
    <w:p w14:paraId="51977965" w14:textId="77777777" w:rsidR="006625AF" w:rsidRPr="0075654E" w:rsidRDefault="006625AF">
      <w:pPr>
        <w:pStyle w:val="LO-Normal"/>
        <w:spacing w:line="360" w:lineRule="auto"/>
        <w:jc w:val="both"/>
        <w:rPr>
          <w:rFonts w:ascii="Arial" w:eastAsia="Noto Serif Light" w:hAnsi="Arial" w:cs="Arial"/>
          <w:color w:val="000000"/>
          <w:sz w:val="16"/>
          <w:szCs w:val="16"/>
        </w:rPr>
      </w:pPr>
    </w:p>
    <w:p w14:paraId="4ABD0A15" w14:textId="2AA95530" w:rsidR="00435B0B" w:rsidRDefault="006625AF" w:rsidP="006625AF">
      <w:pPr>
        <w:pStyle w:val="LO-Normal"/>
        <w:spacing w:line="360" w:lineRule="auto"/>
        <w:ind w:firstLine="709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eastAsia="Noto Serif Light" w:hAnsi="Arial" w:cs="Arial"/>
          <w:color w:val="000000"/>
          <w:sz w:val="22"/>
          <w:szCs w:val="22"/>
        </w:rPr>
        <w:t>As modificações havidas na lei 1883/2001 tem por objetivo</w:t>
      </w:r>
      <w:r w:rsidR="001F5F79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extirpar interpretações existentes sobre </w:t>
      </w:r>
      <w:r w:rsidR="00EB7948">
        <w:rPr>
          <w:rFonts w:ascii="Arial" w:hAnsi="Arial" w:cs="Arial"/>
          <w:bCs/>
          <w:color w:val="000000"/>
          <w:sz w:val="22"/>
          <w:szCs w:val="22"/>
        </w:rPr>
        <w:t xml:space="preserve">a redação do artigo </w:t>
      </w:r>
      <w:r>
        <w:rPr>
          <w:rFonts w:ascii="Arial" w:hAnsi="Arial" w:cs="Arial"/>
          <w:bCs/>
          <w:color w:val="000000"/>
          <w:sz w:val="22"/>
          <w:szCs w:val="22"/>
        </w:rPr>
        <w:t>61</w:t>
      </w:r>
      <w:r w:rsidR="00EB7948">
        <w:rPr>
          <w:rFonts w:ascii="Arial" w:hAnsi="Arial" w:cs="Arial"/>
          <w:bCs/>
          <w:color w:val="000000"/>
          <w:sz w:val="22"/>
          <w:szCs w:val="22"/>
        </w:rPr>
        <w:t xml:space="preserve">. Com relação ao artigo 70, por sua vez, </w:t>
      </w:r>
      <w:r w:rsidR="0075654E">
        <w:rPr>
          <w:rFonts w:ascii="Arial" w:hAnsi="Arial" w:cs="Arial"/>
          <w:bCs/>
          <w:color w:val="000000"/>
          <w:sz w:val="22"/>
          <w:szCs w:val="22"/>
        </w:rPr>
        <w:t>busca-se alterar o</w:t>
      </w:r>
      <w:r w:rsidR="00EB7948">
        <w:rPr>
          <w:rFonts w:ascii="Arial" w:hAnsi="Arial" w:cs="Arial"/>
          <w:bCs/>
          <w:color w:val="000000"/>
          <w:sz w:val="22"/>
          <w:szCs w:val="22"/>
        </w:rPr>
        <w:t xml:space="preserve"> padrão de tolerância </w:t>
      </w:r>
      <w:r w:rsidR="0075654E">
        <w:rPr>
          <w:rFonts w:ascii="Arial" w:hAnsi="Arial" w:cs="Arial"/>
          <w:bCs/>
          <w:color w:val="000000"/>
          <w:sz w:val="22"/>
          <w:szCs w:val="22"/>
        </w:rPr>
        <w:t>dos períodos de atrasos, ausências e saídas antecipadas,</w:t>
      </w:r>
      <w:r w:rsidR="00EB7948">
        <w:rPr>
          <w:rFonts w:ascii="Arial" w:hAnsi="Arial" w:cs="Arial"/>
          <w:bCs/>
          <w:color w:val="000000"/>
          <w:sz w:val="22"/>
          <w:szCs w:val="22"/>
        </w:rPr>
        <w:t xml:space="preserve"> eis que, na pratica, vê-se atualmente um contingente </w:t>
      </w:r>
      <w:r w:rsidR="0075654E">
        <w:rPr>
          <w:rFonts w:ascii="Arial" w:hAnsi="Arial" w:cs="Arial"/>
          <w:bCs/>
          <w:color w:val="000000"/>
          <w:sz w:val="22"/>
          <w:szCs w:val="22"/>
        </w:rPr>
        <w:t>significativo de</w:t>
      </w:r>
      <w:r w:rsidR="00EB7948">
        <w:rPr>
          <w:rFonts w:ascii="Arial" w:hAnsi="Arial" w:cs="Arial"/>
          <w:bCs/>
          <w:color w:val="000000"/>
          <w:sz w:val="22"/>
          <w:szCs w:val="22"/>
        </w:rPr>
        <w:t xml:space="preserve"> servidores que estão a “exagerar” n</w:t>
      </w:r>
      <w:r w:rsidR="0075654E">
        <w:rPr>
          <w:rFonts w:ascii="Arial" w:hAnsi="Arial" w:cs="Arial"/>
          <w:bCs/>
          <w:color w:val="000000"/>
          <w:sz w:val="22"/>
          <w:szCs w:val="22"/>
        </w:rPr>
        <w:t>a</w:t>
      </w:r>
      <w:r w:rsidR="00EB7948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75654E">
        <w:rPr>
          <w:rFonts w:ascii="Arial" w:hAnsi="Arial" w:cs="Arial"/>
          <w:bCs/>
          <w:color w:val="000000"/>
          <w:sz w:val="22"/>
          <w:szCs w:val="22"/>
        </w:rPr>
        <w:t>tolerância então vigente</w:t>
      </w:r>
      <w:r w:rsidR="00EB7948">
        <w:rPr>
          <w:rFonts w:ascii="Arial" w:hAnsi="Arial" w:cs="Arial"/>
          <w:bCs/>
          <w:color w:val="000000"/>
          <w:sz w:val="22"/>
          <w:szCs w:val="22"/>
        </w:rPr>
        <w:t xml:space="preserve"> (30min), o que vem</w:t>
      </w:r>
      <w:r w:rsidR="0075654E">
        <w:rPr>
          <w:rFonts w:ascii="Arial" w:hAnsi="Arial" w:cs="Arial"/>
          <w:bCs/>
          <w:color w:val="000000"/>
          <w:sz w:val="22"/>
          <w:szCs w:val="22"/>
        </w:rPr>
        <w:t xml:space="preserve"> de c</w:t>
      </w:r>
      <w:r w:rsidR="001F5F79">
        <w:rPr>
          <w:rFonts w:ascii="Arial" w:hAnsi="Arial" w:cs="Arial"/>
          <w:bCs/>
          <w:color w:val="000000"/>
          <w:sz w:val="22"/>
          <w:szCs w:val="22"/>
        </w:rPr>
        <w:t>e</w:t>
      </w:r>
      <w:r w:rsidR="0075654E">
        <w:rPr>
          <w:rFonts w:ascii="Arial" w:hAnsi="Arial" w:cs="Arial"/>
          <w:bCs/>
          <w:color w:val="000000"/>
          <w:sz w:val="22"/>
          <w:szCs w:val="22"/>
        </w:rPr>
        <w:t>rta forma</w:t>
      </w:r>
      <w:r w:rsidR="00EB7948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75654E">
        <w:rPr>
          <w:rFonts w:ascii="Arial" w:hAnsi="Arial" w:cs="Arial"/>
          <w:bCs/>
          <w:color w:val="000000"/>
          <w:sz w:val="22"/>
          <w:szCs w:val="22"/>
        </w:rPr>
        <w:t>contribuindo</w:t>
      </w:r>
      <w:r w:rsidR="00EB7948">
        <w:rPr>
          <w:rFonts w:ascii="Arial" w:hAnsi="Arial" w:cs="Arial"/>
          <w:bCs/>
          <w:color w:val="000000"/>
          <w:sz w:val="22"/>
          <w:szCs w:val="22"/>
        </w:rPr>
        <w:t>, em parte, a produtividade e andamentos dos trabalhos de alguns departamentos/setores. Com relação ao artigo 89, igualmente se faz necessário harmonizar tal redação com outros dispositivos da própria lei, para fins de suprir interpretações divergentes  e atuais</w:t>
      </w:r>
      <w:r w:rsidR="001F5F79">
        <w:rPr>
          <w:rFonts w:ascii="Arial" w:hAnsi="Arial" w:cs="Arial"/>
          <w:bCs/>
          <w:color w:val="000000"/>
          <w:sz w:val="22"/>
          <w:szCs w:val="22"/>
        </w:rPr>
        <w:t>.</w:t>
      </w:r>
    </w:p>
    <w:p w14:paraId="6CEB0C14" w14:textId="77777777" w:rsidR="00EB7948" w:rsidRPr="0075654E" w:rsidRDefault="00EB7948" w:rsidP="006625AF">
      <w:pPr>
        <w:pStyle w:val="LO-Normal"/>
        <w:spacing w:line="360" w:lineRule="auto"/>
        <w:ind w:firstLine="709"/>
        <w:jc w:val="both"/>
        <w:rPr>
          <w:rFonts w:ascii="Arial" w:hAnsi="Arial" w:cs="Arial"/>
          <w:bCs/>
          <w:color w:val="000000"/>
          <w:sz w:val="12"/>
          <w:szCs w:val="12"/>
        </w:rPr>
      </w:pPr>
    </w:p>
    <w:p w14:paraId="4C9BE585" w14:textId="39AFDC9E" w:rsidR="00EB7948" w:rsidRDefault="00EB7948" w:rsidP="006625AF">
      <w:pPr>
        <w:pStyle w:val="LO-Normal"/>
        <w:spacing w:line="360" w:lineRule="auto"/>
        <w:ind w:firstLine="709"/>
        <w:jc w:val="both"/>
        <w:rPr>
          <w:rFonts w:hint="eastAsia"/>
        </w:rPr>
      </w:pPr>
      <w:r>
        <w:rPr>
          <w:rFonts w:ascii="Arial" w:hAnsi="Arial" w:cs="Arial"/>
          <w:bCs/>
          <w:color w:val="000000"/>
          <w:sz w:val="22"/>
          <w:szCs w:val="22"/>
        </w:rPr>
        <w:t>Com relação as modificações havidas na lei 5.336/2024, a presente proposição, igualmente, nada alterando na redação de origem (essência), passa a conferir uma redação para melhor compreensão, assim como adequação da tabela de vencimento, atualizando valores.</w:t>
      </w:r>
    </w:p>
    <w:p w14:paraId="51389195" w14:textId="77777777" w:rsidR="00435B0B" w:rsidRPr="0075654E" w:rsidRDefault="00435B0B">
      <w:pPr>
        <w:pStyle w:val="LO-Normal"/>
        <w:spacing w:line="360" w:lineRule="auto"/>
        <w:jc w:val="both"/>
        <w:rPr>
          <w:rFonts w:hint="eastAsia"/>
          <w:sz w:val="18"/>
          <w:szCs w:val="18"/>
        </w:rPr>
      </w:pPr>
    </w:p>
    <w:p w14:paraId="0235E5B0" w14:textId="77777777" w:rsidR="00435B0B" w:rsidRDefault="001F5F79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Arial"/>
          <w:color w:val="000000"/>
          <w:sz w:val="22"/>
          <w:szCs w:val="22"/>
        </w:rPr>
        <w:tab/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color w:val="000000"/>
          <w:sz w:val="22"/>
          <w:szCs w:val="22"/>
        </w:rPr>
        <w:t>.</w:t>
      </w:r>
    </w:p>
    <w:p w14:paraId="68B93B45" w14:textId="77777777" w:rsidR="00435B0B" w:rsidRDefault="00435B0B">
      <w:pPr>
        <w:spacing w:line="360" w:lineRule="auto"/>
        <w:jc w:val="both"/>
        <w:rPr>
          <w:rFonts w:ascii="Arial" w:eastAsia="Noto Serif Light" w:hAnsi="Arial" w:cs="Arial"/>
          <w:b/>
          <w:bCs/>
          <w:color w:val="000000"/>
          <w:sz w:val="22"/>
          <w:szCs w:val="22"/>
        </w:rPr>
      </w:pPr>
    </w:p>
    <w:p w14:paraId="2523B7F6" w14:textId="77777777" w:rsidR="00435B0B" w:rsidRDefault="00435B0B">
      <w:pPr>
        <w:spacing w:line="360" w:lineRule="auto"/>
        <w:jc w:val="both"/>
        <w:rPr>
          <w:rFonts w:hint="eastAsia"/>
          <w:sz w:val="22"/>
          <w:szCs w:val="22"/>
        </w:rPr>
      </w:pPr>
    </w:p>
    <w:p w14:paraId="66552671" w14:textId="77777777" w:rsidR="00435B0B" w:rsidRDefault="001F5F79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</w:p>
    <w:bookmarkEnd w:id="0"/>
    <w:bookmarkEnd w:id="1"/>
    <w:bookmarkEnd w:id="2"/>
    <w:bookmarkEnd w:id="3"/>
    <w:bookmarkEnd w:id="4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14:paraId="6BB0A13A" w14:textId="77777777" w:rsidR="00435B0B" w:rsidRDefault="001F5F79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p w14:paraId="722628A6" w14:textId="77777777" w:rsidR="00435B0B" w:rsidRDefault="00435B0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color w:val="000000"/>
          <w:sz w:val="22"/>
          <w:szCs w:val="22"/>
        </w:rPr>
      </w:pPr>
    </w:p>
    <w:p w14:paraId="3CF26ECD" w14:textId="77777777" w:rsidR="00435B0B" w:rsidRDefault="00435B0B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</w:p>
    <w:sectPr w:rsidR="00435B0B" w:rsidSect="006625AF">
      <w:headerReference w:type="default" r:id="rId8"/>
      <w:footerReference w:type="default" r:id="rId9"/>
      <w:pgSz w:w="11906" w:h="16838" w:code="9"/>
      <w:pgMar w:top="1701" w:right="1134" w:bottom="1701" w:left="1418" w:header="284" w:footer="34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82CD3" w14:textId="77777777" w:rsidR="001F5F79" w:rsidRDefault="001F5F79">
      <w:pPr>
        <w:rPr>
          <w:rFonts w:hint="eastAsia"/>
        </w:rPr>
      </w:pPr>
      <w:r>
        <w:separator/>
      </w:r>
    </w:p>
  </w:endnote>
  <w:endnote w:type="continuationSeparator" w:id="0">
    <w:p w14:paraId="27694220" w14:textId="77777777" w:rsidR="001F5F79" w:rsidRDefault="001F5F7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  <w:sig w:usb0="E00002FF" w:usb1="4000001F" w:usb2="08000029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altName w:val="Courier New"/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Noto Serif Light">
    <w:charset w:val="00"/>
    <w:family w:val="roman"/>
    <w:pitch w:val="variable"/>
    <w:sig w:usb0="E00002FF" w:usb1="4000001F" w:usb2="08000029" w:usb3="00000000" w:csb0="00000001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A1F02" w14:textId="77777777" w:rsidR="00435B0B" w:rsidRDefault="001F5F79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 w:hint="eastAsia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34C46E96" w14:textId="77777777" w:rsidR="00435B0B" w:rsidRDefault="001F5F79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6ED348AE" w14:textId="77777777" w:rsidR="00435B0B" w:rsidRDefault="001F5F79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3A983366" w14:textId="77777777" w:rsidR="00435B0B" w:rsidRDefault="001F5F79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C33A1" w14:textId="77777777" w:rsidR="001F5F79" w:rsidRDefault="001F5F79">
      <w:pPr>
        <w:rPr>
          <w:rFonts w:hint="eastAsia"/>
        </w:rPr>
      </w:pPr>
      <w:r>
        <w:separator/>
      </w:r>
    </w:p>
  </w:footnote>
  <w:footnote w:type="continuationSeparator" w:id="0">
    <w:p w14:paraId="1B9AEA08" w14:textId="77777777" w:rsidR="001F5F79" w:rsidRDefault="001F5F79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88F25" w14:textId="77777777" w:rsidR="00435B0B" w:rsidRDefault="001F5F79">
    <w:pPr>
      <w:pStyle w:val="Cabealho"/>
      <w:jc w:val="center"/>
      <w:rPr>
        <w:rFonts w:hint="eastAsia"/>
      </w:rPr>
    </w:pPr>
    <w:r>
      <w:rPr>
        <w:noProof/>
      </w:rPr>
      <w:drawing>
        <wp:anchor distT="0" distB="0" distL="0" distR="0" simplePos="0" relativeHeight="3" behindDoc="0" locked="0" layoutInCell="0" allowOverlap="1" wp14:anchorId="7909AF1F" wp14:editId="03903180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5" behindDoc="0" locked="0" layoutInCell="0" allowOverlap="1" wp14:anchorId="4DC7AB14" wp14:editId="7FFB053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3C087BCC" w14:textId="77777777" w:rsidR="00435B0B" w:rsidRDefault="001F5F79">
    <w:pPr>
      <w:pStyle w:val="Cabealho"/>
      <w:jc w:val="center"/>
      <w:rPr>
        <w:rFonts w:ascii="Century" w:hAnsi="Century" w:hint="eastAsia"/>
        <w:b/>
        <w:bCs/>
      </w:rPr>
    </w:pPr>
    <w:r>
      <w:rPr>
        <w:rFonts w:ascii="Century" w:hAnsi="Century"/>
        <w:b/>
        <w:bCs/>
      </w:rPr>
      <w:t>MUNICÍPIO DE DOIS IRMÃOS</w:t>
    </w:r>
  </w:p>
  <w:p w14:paraId="2C82169B" w14:textId="77777777" w:rsidR="00435B0B" w:rsidRDefault="001F5F79">
    <w:pPr>
      <w:pStyle w:val="Cabealho"/>
      <w:jc w:val="center"/>
      <w:rPr>
        <w:rFonts w:ascii="Century" w:hAnsi="Century" w:hint="eastAsia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B2196"/>
    <w:multiLevelType w:val="multilevel"/>
    <w:tmpl w:val="DAFC927C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45827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B0B"/>
    <w:rsid w:val="00103D0C"/>
    <w:rsid w:val="00105E51"/>
    <w:rsid w:val="001F5F79"/>
    <w:rsid w:val="002461F6"/>
    <w:rsid w:val="002D40A1"/>
    <w:rsid w:val="00424602"/>
    <w:rsid w:val="00435B0B"/>
    <w:rsid w:val="00614C1B"/>
    <w:rsid w:val="006625AF"/>
    <w:rsid w:val="0075654E"/>
    <w:rsid w:val="00912FF0"/>
    <w:rsid w:val="00EB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54AC04"/>
  <w15:docId w15:val="{721D04D3-1B50-4E9C-8A16-EA8407612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customStyle="1" w:styleId="LO-Normal">
    <w:name w:val="LO-Normal"/>
    <w:qFormat/>
    <w:pPr>
      <w:suppressAutoHyphens/>
    </w:p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uppressAutoHyphens/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ista">
    <w:name w:val="List"/>
    <w:basedOn w:val="Corpodetexto"/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pPr>
      <w:suppressAutoHyphens/>
    </w:pPr>
    <w:rPr>
      <w:rFonts w:ascii="Times New Roman" w:eastAsia="Liberation Serif" w:hAnsi="Times New Roman" w:cs="Liberation Serif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B1E072-2763-464E-9F69-5265DDDFA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3</Pages>
  <Words>659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62</cp:revision>
  <cp:lastPrinted>2025-09-11T13:06:00Z</cp:lastPrinted>
  <dcterms:created xsi:type="dcterms:W3CDTF">2023-09-15T11:30:00Z</dcterms:created>
  <dcterms:modified xsi:type="dcterms:W3CDTF">2025-09-11T13:33:00Z</dcterms:modified>
  <dc:language>pt-BR</dc:language>
</cp:coreProperties>
</file>