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7B04A" w14:textId="77777777" w:rsidR="00446CA3" w:rsidRDefault="009C69F3">
      <w:pPr>
        <w:pStyle w:val="Ttulo"/>
        <w:spacing w:line="360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PROJETO DE LEI Nº 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ascii="Arial" w:eastAsia="Noto Serif Light" w:hAnsi="Arial" w:cs="Noto Serif Light"/>
          <w:b/>
          <w:bCs/>
          <w:sz w:val="22"/>
          <w:szCs w:val="22"/>
        </w:rPr>
        <w:t>112/2025</w:t>
      </w:r>
    </w:p>
    <w:tbl>
      <w:tblPr>
        <w:tblW w:w="6157" w:type="dxa"/>
        <w:tblInd w:w="310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7"/>
      </w:tblGrid>
      <w:tr w:rsidR="00446CA3" w14:paraId="2658754A" w14:textId="77777777">
        <w:trPr>
          <w:trHeight w:val="829"/>
        </w:trPr>
        <w:tc>
          <w:tcPr>
            <w:tcW w:w="6157" w:type="dxa"/>
          </w:tcPr>
          <w:p w14:paraId="08C2ECDD" w14:textId="77777777" w:rsidR="00446CA3" w:rsidRDefault="00446CA3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8"/>
                <w:szCs w:val="8"/>
              </w:rPr>
            </w:pPr>
          </w:p>
          <w:p w14:paraId="39059601" w14:textId="77777777" w:rsidR="00446CA3" w:rsidRDefault="009C69F3">
            <w:pPr>
              <w:widowControl w:val="0"/>
              <w:spacing w:line="360" w:lineRule="auto"/>
              <w:jc w:val="both"/>
              <w:rPr>
                <w:rFonts w:hint="eastAsia"/>
              </w:rPr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ACRESCE O ARTIGO 6ºA À LEI MUNICIPAL Nº 5.477, DE 18 DE MARÇO DE 2025, LEI QUE ESTABELECE QUE FICA O PODER EXECUTIVO AUTORIZADO A REGULARIZAR EDIFICAÇÕES DE INTERESSE HISTÓRICO CULTURAL E/OU TOMBADAS, E DE PROPRIEDADE DE ENTIDADES EDUCACIONAIS, RELIGIOSAS, ESPORTIVAS OU ASSISTENCIAIS, SEM FINS LUCRATIVOS, NA FORMA QUE ESPECIFICA, E DÁ OUTRAS PROVIDÊNCIAS”</w:t>
            </w:r>
          </w:p>
        </w:tc>
      </w:tr>
    </w:tbl>
    <w:p w14:paraId="2A9851F4" w14:textId="77777777" w:rsidR="00446CA3" w:rsidRDefault="00446CA3">
      <w:pPr>
        <w:widowControl w:val="0"/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308CCEB7" w14:textId="77777777" w:rsidR="00446CA3" w:rsidRDefault="00446CA3">
      <w:pPr>
        <w:widowControl w:val="0"/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24E30A7D" w14:textId="77777777" w:rsidR="00446CA3" w:rsidRDefault="009C69F3">
      <w:pPr>
        <w:spacing w:line="360" w:lineRule="auto"/>
        <w:ind w:firstLine="709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3516263E" w14:textId="77777777" w:rsidR="00446CA3" w:rsidRDefault="00446CA3">
      <w:pPr>
        <w:tabs>
          <w:tab w:val="left" w:pos="2228"/>
        </w:tabs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2DC5E148" w14:textId="77777777" w:rsidR="00446CA3" w:rsidRDefault="009C69F3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1B6048F2" w14:textId="77777777" w:rsidR="00446CA3" w:rsidRDefault="00446CA3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p w14:paraId="57DB31D2" w14:textId="6974A327" w:rsidR="00446CA3" w:rsidRDefault="009C69F3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Art. 1º</w:t>
      </w:r>
      <w:r>
        <w:rPr>
          <w:rFonts w:ascii="Arial" w:hAnsi="Arial" w:cs="Arial"/>
          <w:sz w:val="22"/>
          <w:szCs w:val="22"/>
        </w:rPr>
        <w:t xml:space="preserve"> A Lei Municipal nº 5.477, de 18 de março de 2025, passa a viger com o acréscimo do seguinte Art. </w:t>
      </w:r>
      <w:r>
        <w:rPr>
          <w:rFonts w:ascii="Arial" w:hAnsi="Arial" w:cs="Arial"/>
          <w:sz w:val="22"/>
          <w:szCs w:val="22"/>
        </w:rPr>
        <w:t>6ºA:</w:t>
      </w:r>
    </w:p>
    <w:p w14:paraId="0F133130" w14:textId="20C306B5" w:rsidR="00446CA3" w:rsidRPr="006240A6" w:rsidRDefault="009C69F3">
      <w:pPr>
        <w:pStyle w:val="LO-Normal"/>
        <w:tabs>
          <w:tab w:val="left" w:pos="187"/>
        </w:tabs>
        <w:spacing w:line="360" w:lineRule="auto"/>
        <w:ind w:left="794"/>
        <w:jc w:val="both"/>
        <w:rPr>
          <w:rFonts w:ascii="Arial" w:hAnsi="Arial" w:cs="Arial"/>
          <w:i/>
          <w:i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color w:val="auto"/>
          <w:sz w:val="22"/>
          <w:szCs w:val="22"/>
        </w:rPr>
        <w:t>“</w:t>
      </w:r>
      <w:r w:rsidRPr="006240A6">
        <w:rPr>
          <w:rFonts w:ascii="Arial" w:hAnsi="Arial" w:cs="Arial"/>
          <w:i/>
          <w:iCs/>
          <w:color w:val="auto"/>
          <w:sz w:val="22"/>
          <w:szCs w:val="22"/>
        </w:rPr>
        <w:t>Art. 6ºA. As taxas de aprovação dos projetos de regularização poderão ser parceladas em até 12 (doze) meses</w:t>
      </w:r>
      <w:r w:rsidRPr="006240A6">
        <w:rPr>
          <w:rFonts w:ascii="Arial" w:hAnsi="Arial" w:cs="Arial"/>
          <w:i/>
          <w:iCs/>
          <w:color w:val="auto"/>
          <w:sz w:val="22"/>
          <w:szCs w:val="22"/>
        </w:rPr>
        <w:t>.</w:t>
      </w:r>
    </w:p>
    <w:p w14:paraId="6E52C77D" w14:textId="77777777" w:rsidR="00446CA3" w:rsidRPr="006240A6" w:rsidRDefault="00446CA3">
      <w:pPr>
        <w:pStyle w:val="LO-Normal"/>
        <w:tabs>
          <w:tab w:val="left" w:pos="187"/>
        </w:tabs>
        <w:spacing w:line="360" w:lineRule="auto"/>
        <w:ind w:left="794"/>
        <w:jc w:val="both"/>
        <w:rPr>
          <w:rFonts w:hint="eastAsia"/>
          <w:i/>
          <w:iCs/>
          <w:color w:val="auto"/>
          <w:sz w:val="12"/>
          <w:szCs w:val="12"/>
        </w:rPr>
      </w:pPr>
    </w:p>
    <w:p w14:paraId="78BC0A6E" w14:textId="3AA3F2E6" w:rsidR="00446CA3" w:rsidRPr="006240A6" w:rsidRDefault="009C69F3">
      <w:pPr>
        <w:pStyle w:val="LO-Normal"/>
        <w:tabs>
          <w:tab w:val="left" w:pos="187"/>
        </w:tabs>
        <w:spacing w:line="360" w:lineRule="auto"/>
        <w:ind w:left="794"/>
        <w:jc w:val="both"/>
        <w:rPr>
          <w:rFonts w:hint="eastAsia"/>
          <w:i/>
          <w:iCs/>
          <w:color w:val="auto"/>
        </w:rPr>
      </w:pPr>
      <w:r w:rsidRPr="006240A6">
        <w:rPr>
          <w:rFonts w:ascii="Arial" w:hAnsi="Arial" w:cs="Arial"/>
          <w:i/>
          <w:iCs/>
          <w:color w:val="auto"/>
          <w:sz w:val="22"/>
          <w:szCs w:val="22"/>
        </w:rPr>
        <w:t>§ 1º</w:t>
      </w:r>
      <w:r w:rsidRPr="006240A6">
        <w:rPr>
          <w:rFonts w:ascii="Arial" w:hAnsi="Arial" w:cs="Arial"/>
          <w:i/>
          <w:iCs/>
          <w:color w:val="auto"/>
          <w:sz w:val="22"/>
          <w:szCs w:val="22"/>
        </w:rPr>
        <w:t xml:space="preserve"> As parcelas deverão ser mensais e consecutivas</w:t>
      </w:r>
      <w:r>
        <w:rPr>
          <w:rFonts w:ascii="Arial" w:hAnsi="Arial" w:cs="Arial"/>
          <w:i/>
          <w:iCs/>
          <w:color w:val="auto"/>
          <w:sz w:val="22"/>
          <w:szCs w:val="22"/>
        </w:rPr>
        <w:t>,</w:t>
      </w:r>
      <w:r w:rsidRPr="006240A6">
        <w:rPr>
          <w:rFonts w:ascii="Arial" w:hAnsi="Arial" w:cs="Arial"/>
          <w:i/>
          <w:iCs/>
          <w:color w:val="auto"/>
          <w:sz w:val="22"/>
          <w:szCs w:val="22"/>
        </w:rPr>
        <w:t xml:space="preserve"> e cada parcela não poderá ser inferior a </w:t>
      </w:r>
      <w:r w:rsidRPr="006240A6">
        <w:rPr>
          <w:rFonts w:ascii="Arial" w:hAnsi="Arial" w:cs="Arial"/>
          <w:i/>
          <w:iCs/>
          <w:color w:val="auto"/>
          <w:sz w:val="22"/>
          <w:szCs w:val="22"/>
        </w:rPr>
        <w:t>0,25 (zero vírgula vinte e cinco) BCM, corrigidas anualmente, ou prazo fixado, índice que reflita a correção monetária do período, acrescida  de juros e multa, conforme estabelecido no art. 237 do Código Tributário Municipal.</w:t>
      </w:r>
    </w:p>
    <w:p w14:paraId="60E92042" w14:textId="77777777" w:rsidR="00446CA3" w:rsidRPr="006240A6" w:rsidRDefault="00446CA3">
      <w:pPr>
        <w:pStyle w:val="LO-Normal"/>
        <w:tabs>
          <w:tab w:val="left" w:pos="187"/>
        </w:tabs>
        <w:spacing w:line="360" w:lineRule="auto"/>
        <w:ind w:left="794"/>
        <w:jc w:val="both"/>
        <w:rPr>
          <w:rFonts w:hint="eastAsia"/>
          <w:i/>
          <w:iCs/>
          <w:color w:val="auto"/>
          <w:sz w:val="12"/>
          <w:szCs w:val="12"/>
        </w:rPr>
      </w:pPr>
    </w:p>
    <w:p w14:paraId="6A877F62" w14:textId="3EAA3254" w:rsidR="00446CA3" w:rsidRDefault="009C69F3">
      <w:pPr>
        <w:pStyle w:val="LO-Normal"/>
        <w:tabs>
          <w:tab w:val="left" w:pos="187"/>
        </w:tabs>
        <w:spacing w:line="360" w:lineRule="auto"/>
        <w:ind w:left="794"/>
        <w:jc w:val="both"/>
        <w:rPr>
          <w:rFonts w:hint="eastAsia"/>
          <w:color w:val="auto"/>
        </w:rPr>
      </w:pPr>
      <w:r w:rsidRPr="006240A6">
        <w:rPr>
          <w:rFonts w:ascii="Arial" w:hAnsi="Arial" w:cs="Arial"/>
          <w:i/>
          <w:iCs/>
          <w:color w:val="auto"/>
          <w:sz w:val="22"/>
          <w:szCs w:val="22"/>
        </w:rPr>
        <w:t xml:space="preserve">§2º </w:t>
      </w:r>
      <w:r w:rsidRPr="006240A6">
        <w:rPr>
          <w:rFonts w:ascii="Arial" w:hAnsi="Arial" w:cs="Arial"/>
          <w:i/>
          <w:iCs/>
          <w:color w:val="auto"/>
          <w:sz w:val="22"/>
          <w:szCs w:val="22"/>
        </w:rPr>
        <w:t>A falta de pagamento de</w:t>
      </w:r>
      <w:r w:rsidR="006240A6">
        <w:rPr>
          <w:rFonts w:ascii="Arial" w:hAnsi="Arial" w:cs="Arial"/>
          <w:i/>
          <w:iCs/>
          <w:color w:val="auto"/>
          <w:sz w:val="22"/>
          <w:szCs w:val="22"/>
        </w:rPr>
        <w:t xml:space="preserve"> 03</w:t>
      </w:r>
      <w:r w:rsidRPr="006240A6">
        <w:rPr>
          <w:rFonts w:ascii="Arial" w:hAnsi="Arial" w:cs="Arial"/>
          <w:i/>
          <w:iCs/>
          <w:color w:val="auto"/>
          <w:sz w:val="22"/>
          <w:szCs w:val="22"/>
        </w:rPr>
        <w:t xml:space="preserve"> </w:t>
      </w:r>
      <w:r w:rsidR="006240A6">
        <w:rPr>
          <w:rFonts w:ascii="Arial" w:hAnsi="Arial" w:cs="Arial"/>
          <w:i/>
          <w:iCs/>
          <w:color w:val="auto"/>
          <w:sz w:val="22"/>
          <w:szCs w:val="22"/>
        </w:rPr>
        <w:t>(</w:t>
      </w:r>
      <w:r w:rsidRPr="006240A6">
        <w:rPr>
          <w:rFonts w:ascii="Arial" w:hAnsi="Arial" w:cs="Arial"/>
          <w:i/>
          <w:iCs/>
          <w:color w:val="auto"/>
          <w:sz w:val="22"/>
          <w:szCs w:val="22"/>
        </w:rPr>
        <w:t>três</w:t>
      </w:r>
      <w:r w:rsidR="006240A6">
        <w:rPr>
          <w:rFonts w:ascii="Arial" w:hAnsi="Arial" w:cs="Arial"/>
          <w:i/>
          <w:iCs/>
          <w:color w:val="auto"/>
          <w:sz w:val="22"/>
          <w:szCs w:val="22"/>
        </w:rPr>
        <w:t>)</w:t>
      </w:r>
      <w:r w:rsidRPr="006240A6">
        <w:rPr>
          <w:rFonts w:ascii="Arial" w:hAnsi="Arial" w:cs="Arial"/>
          <w:i/>
          <w:iCs/>
          <w:color w:val="auto"/>
          <w:sz w:val="22"/>
          <w:szCs w:val="22"/>
        </w:rPr>
        <w:t xml:space="preserve"> parcelas sucessivas ou </w:t>
      </w:r>
      <w:r w:rsidR="006240A6">
        <w:rPr>
          <w:rFonts w:ascii="Arial" w:hAnsi="Arial" w:cs="Arial"/>
          <w:i/>
          <w:iCs/>
          <w:color w:val="auto"/>
          <w:sz w:val="22"/>
          <w:szCs w:val="22"/>
        </w:rPr>
        <w:t>04 (</w:t>
      </w:r>
      <w:r w:rsidRPr="006240A6">
        <w:rPr>
          <w:rFonts w:ascii="Arial" w:hAnsi="Arial" w:cs="Arial"/>
          <w:i/>
          <w:iCs/>
          <w:color w:val="auto"/>
          <w:sz w:val="22"/>
          <w:szCs w:val="22"/>
        </w:rPr>
        <w:t>quatro</w:t>
      </w:r>
      <w:r w:rsidR="006240A6">
        <w:rPr>
          <w:rFonts w:ascii="Arial" w:hAnsi="Arial" w:cs="Arial"/>
          <w:i/>
          <w:iCs/>
          <w:color w:val="auto"/>
          <w:sz w:val="22"/>
          <w:szCs w:val="22"/>
        </w:rPr>
        <w:t>)</w:t>
      </w:r>
      <w:r w:rsidRPr="006240A6">
        <w:rPr>
          <w:rFonts w:ascii="Arial" w:hAnsi="Arial" w:cs="Arial"/>
          <w:i/>
          <w:iCs/>
          <w:color w:val="auto"/>
          <w:sz w:val="22"/>
          <w:szCs w:val="22"/>
        </w:rPr>
        <w:t xml:space="preserve"> parcelas intercaladas, implicará no vencimento antecipado da totalidade da dívida, com acréscimos legais</w:t>
      </w:r>
      <w:r w:rsidRPr="006240A6">
        <w:rPr>
          <w:rFonts w:ascii="Arial" w:hAnsi="Arial" w:cs="Arial"/>
          <w:i/>
          <w:iCs/>
          <w:color w:val="auto"/>
          <w:sz w:val="22"/>
          <w:szCs w:val="22"/>
        </w:rPr>
        <w:t xml:space="preserve"> previstos no parágrafo anterior</w:t>
      </w:r>
      <w:r>
        <w:rPr>
          <w:rFonts w:ascii="Arial" w:hAnsi="Arial" w:cs="Arial"/>
          <w:iCs/>
          <w:color w:val="auto"/>
          <w:sz w:val="22"/>
          <w:szCs w:val="22"/>
        </w:rPr>
        <w:t>. ”</w:t>
      </w:r>
    </w:p>
    <w:p w14:paraId="6B2EB2A8" w14:textId="77777777" w:rsidR="00446CA3" w:rsidRDefault="00446CA3">
      <w:pPr>
        <w:pStyle w:val="LO-Normal"/>
        <w:tabs>
          <w:tab w:val="left" w:pos="187"/>
        </w:tabs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7988D1FC" w14:textId="77777777" w:rsidR="00446CA3" w:rsidRDefault="009C69F3">
      <w:pPr>
        <w:spacing w:line="360" w:lineRule="auto"/>
        <w:ind w:firstLine="709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Art. 2º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publicação, revogando-se as disposições em contrário.</w:t>
      </w:r>
    </w:p>
    <w:p w14:paraId="10ECB39A" w14:textId="77777777" w:rsidR="00446CA3" w:rsidRDefault="00446CA3">
      <w:pPr>
        <w:spacing w:line="360" w:lineRule="auto"/>
        <w:ind w:firstLine="709"/>
        <w:jc w:val="both"/>
        <w:rPr>
          <w:rFonts w:ascii="Arial" w:eastAsia="Noto Serif Light" w:hAnsi="Arial" w:cs="Arial"/>
          <w:sz w:val="12"/>
          <w:szCs w:val="12"/>
        </w:rPr>
      </w:pPr>
    </w:p>
    <w:p w14:paraId="63B2C295" w14:textId="77777777" w:rsidR="00446CA3" w:rsidRDefault="009C69F3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lastRenderedPageBreak/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25 DE SETEMBRO DE 2025.</w:t>
      </w:r>
    </w:p>
    <w:p w14:paraId="5BDFAB57" w14:textId="77777777" w:rsidR="00446CA3" w:rsidRDefault="00446CA3">
      <w:pPr>
        <w:spacing w:line="360" w:lineRule="auto"/>
        <w:jc w:val="both"/>
        <w:rPr>
          <w:rFonts w:hint="eastAsia"/>
        </w:rPr>
      </w:pPr>
    </w:p>
    <w:p w14:paraId="2EBD00F3" w14:textId="77777777" w:rsidR="00446CA3" w:rsidRDefault="00446CA3">
      <w:pPr>
        <w:spacing w:line="360" w:lineRule="auto"/>
        <w:jc w:val="both"/>
        <w:rPr>
          <w:rFonts w:hint="eastAsia"/>
        </w:rPr>
      </w:pPr>
    </w:p>
    <w:p w14:paraId="23DA23AD" w14:textId="77777777" w:rsidR="00446CA3" w:rsidRDefault="009C69F3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02975C93" w14:textId="77777777" w:rsidR="00446CA3" w:rsidRDefault="009C69F3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03C713C6" w14:textId="77777777" w:rsidR="00446CA3" w:rsidRDefault="00446CA3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074E5865" w14:textId="77777777" w:rsidR="00446CA3" w:rsidRDefault="00446CA3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63A1CD68" w14:textId="77777777" w:rsidR="00446CA3" w:rsidRDefault="00446CA3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5151FE9A" w14:textId="77777777" w:rsidR="00446CA3" w:rsidRDefault="00446CA3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51A13B80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31748A5F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5EED356D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4D278B69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011C1BCE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2E636D74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376AB6C9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13F3127A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6F189F32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1EA028F1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014F6F0F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5F644D31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25F23A3A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58B097D0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09BCF11D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307AA440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6BFC065C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3E8CF2D4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404C8F26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541C805E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3C296AE6" w14:textId="77777777" w:rsidR="009C69F3" w:rsidRDefault="009C69F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659A4C90" w14:textId="77777777" w:rsidR="009C69F3" w:rsidRDefault="009C69F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78BF999A" w14:textId="77777777" w:rsidR="009C69F3" w:rsidRDefault="009C69F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64756EA3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082250EA" w14:textId="77777777" w:rsidR="00446CA3" w:rsidRDefault="00446CA3">
      <w:pPr>
        <w:spacing w:line="360" w:lineRule="auto"/>
        <w:jc w:val="center"/>
        <w:rPr>
          <w:rFonts w:ascii="Arial" w:eastAsia="Noto Serif Light" w:hAnsi="Arial" w:cs="Noto Serif Light"/>
          <w:b/>
          <w:sz w:val="22"/>
          <w:szCs w:val="22"/>
        </w:rPr>
      </w:pPr>
    </w:p>
    <w:p w14:paraId="2786D17D" w14:textId="77777777" w:rsidR="00446CA3" w:rsidRDefault="009C69F3">
      <w:pPr>
        <w:spacing w:line="360" w:lineRule="auto"/>
        <w:jc w:val="center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7A1F6FE3" w14:textId="77777777" w:rsidR="00446CA3" w:rsidRDefault="00446CA3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2314629C" w14:textId="77777777" w:rsidR="00446CA3" w:rsidRDefault="009C69F3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>Encaminhamos o presente Projeto de Lei nº 112/2025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ACRESCE O ARTIGO 6ºA À LEI MUNICIPAL Nº 5.477, DE 18 DE MARÇO DE 2025, LEI QUE ESTABELECE QUE FICA O PODER EXECUTIVO AUTORIZADO A REGULARIZAR EDIFICAÇÕES DE INTERESSE HISTÓRICO CULTURAL E/OU TOMBADAS, E DE PROPRIEDADE DE ENTIDADES EDUCACIONAIS, RELIGIOSAS, ESPORTIVAS OU ASSISTENCIAIS, SEM FINS LUCRATIVOS, NA FORMA QUE ESPECIFICA, E DÁ OUTRAS PROVIDÊNCIAS</w:t>
      </w:r>
      <w:r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6017B9FC" w14:textId="77777777" w:rsidR="00446CA3" w:rsidRDefault="00446CA3">
      <w:pPr>
        <w:spacing w:line="360" w:lineRule="auto"/>
        <w:jc w:val="both"/>
        <w:rPr>
          <w:rFonts w:ascii="Arial" w:eastAsia="Noto Serif Light" w:hAnsi="Arial" w:cs="Noto Serif Light"/>
        </w:rPr>
      </w:pPr>
    </w:p>
    <w:p w14:paraId="0946E50C" w14:textId="77777777" w:rsidR="00446CA3" w:rsidRDefault="009C69F3">
      <w:pPr>
        <w:pStyle w:val="LO-Normal"/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Arial"/>
          <w:sz w:val="22"/>
          <w:szCs w:val="22"/>
        </w:rPr>
        <w:tab/>
        <w:t>Propomos a inclusão desse novo dispositivo, na medida em que as regularizações decorrentes desta Lei tratam de grandes áreas, perfazendo valores elevados. Somado a circunstância de que se tratam de entidades sem fins lucrativos que por essa razão em sua maioria trabalham com recursos que arrecadam para as atividades sociais tão somente.</w:t>
      </w:r>
    </w:p>
    <w:p w14:paraId="7FCDB16E" w14:textId="77777777" w:rsidR="00446CA3" w:rsidRDefault="00446CA3">
      <w:pPr>
        <w:pStyle w:val="Corpodetexto"/>
        <w:jc w:val="both"/>
        <w:rPr>
          <w:rFonts w:hint="eastAsia"/>
        </w:rPr>
      </w:pPr>
    </w:p>
    <w:p w14:paraId="111CD262" w14:textId="77777777" w:rsidR="00446CA3" w:rsidRDefault="009C69F3">
      <w:pPr>
        <w:pStyle w:val="LO-Normal"/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Arial"/>
          <w:bCs/>
          <w:sz w:val="22"/>
          <w:szCs w:val="22"/>
        </w:rPr>
        <w:tab/>
        <w:t>Assim, a possibilidade de pagamento parcelado possibilitará que se utilizem das prerrogativas da norma em comento</w:t>
      </w:r>
    </w:p>
    <w:p w14:paraId="19BFB22D" w14:textId="77777777" w:rsidR="00446CA3" w:rsidRDefault="00446CA3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14:paraId="6A232124" w14:textId="77777777" w:rsidR="00446CA3" w:rsidRDefault="009C69F3">
      <w:pPr>
        <w:pStyle w:val="LO-Normal"/>
        <w:spacing w:line="360" w:lineRule="auto"/>
        <w:jc w:val="both"/>
        <w:rPr>
          <w:rFonts w:hint="eastAsia"/>
        </w:rPr>
      </w:pP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60BB5624" w14:textId="77777777" w:rsidR="00446CA3" w:rsidRDefault="00446CA3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0DE48AC8" w14:textId="77777777" w:rsidR="00446CA3" w:rsidRDefault="00446CA3">
      <w:pPr>
        <w:spacing w:line="360" w:lineRule="auto"/>
        <w:jc w:val="both"/>
        <w:rPr>
          <w:rFonts w:hint="eastAsia"/>
          <w:sz w:val="22"/>
          <w:szCs w:val="22"/>
        </w:rPr>
      </w:pPr>
    </w:p>
    <w:p w14:paraId="13ACDD1F" w14:textId="77777777" w:rsidR="00446CA3" w:rsidRDefault="009C69F3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69ABA628" w14:textId="77777777" w:rsidR="00446CA3" w:rsidRDefault="009C69F3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791239B3" w14:textId="77777777" w:rsidR="00446CA3" w:rsidRDefault="00446CA3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4B3C7AD1" w14:textId="77777777" w:rsidR="00446CA3" w:rsidRDefault="00446CA3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446CA3">
      <w:headerReference w:type="default" r:id="rId8"/>
      <w:footerReference w:type="default" r:id="rId9"/>
      <w:pgSz w:w="11906" w:h="16838"/>
      <w:pgMar w:top="1985" w:right="1134" w:bottom="1134" w:left="1418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90EA6F" w14:textId="77777777" w:rsidR="009C69F3" w:rsidRDefault="009C69F3">
      <w:pPr>
        <w:rPr>
          <w:rFonts w:hint="eastAsia"/>
        </w:rPr>
      </w:pPr>
      <w:r>
        <w:separator/>
      </w:r>
    </w:p>
  </w:endnote>
  <w:endnote w:type="continuationSeparator" w:id="0">
    <w:p w14:paraId="38E5D58E" w14:textId="77777777" w:rsidR="009C69F3" w:rsidRDefault="009C69F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roman"/>
    <w:pitch w:val="variable"/>
  </w:font>
  <w:font w:name="Consolas">
    <w:panose1 w:val="020B060902020403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Liberation Mono">
    <w:altName w:val="Courier New"/>
    <w:panose1 w:val="02070409020205020404"/>
    <w:charset w:val="00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27D03" w14:textId="77777777" w:rsidR="00446CA3" w:rsidRDefault="009C69F3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 w:hint="eastAsia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637294BC" w14:textId="77777777" w:rsidR="00446CA3" w:rsidRDefault="009C69F3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3DC0D66D" w14:textId="77777777" w:rsidR="00446CA3" w:rsidRDefault="009C69F3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29EEDD2E" w14:textId="77777777" w:rsidR="00446CA3" w:rsidRDefault="009C69F3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807C5" w14:textId="77777777" w:rsidR="009C69F3" w:rsidRDefault="009C69F3">
      <w:pPr>
        <w:rPr>
          <w:rFonts w:hint="eastAsia"/>
        </w:rPr>
      </w:pPr>
      <w:r>
        <w:separator/>
      </w:r>
    </w:p>
  </w:footnote>
  <w:footnote w:type="continuationSeparator" w:id="0">
    <w:p w14:paraId="71F8ACD0" w14:textId="77777777" w:rsidR="009C69F3" w:rsidRDefault="009C69F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B8166" w14:textId="77777777" w:rsidR="00446CA3" w:rsidRDefault="009C69F3">
    <w:pPr>
      <w:pStyle w:val="Cabealho"/>
      <w:jc w:val="center"/>
      <w:rPr>
        <w:rFonts w:hint="eastAsia"/>
      </w:rPr>
    </w:pPr>
    <w:r>
      <w:rPr>
        <w:noProof/>
      </w:rPr>
      <w:drawing>
        <wp:anchor distT="0" distB="0" distL="0" distR="0" simplePos="0" relativeHeight="4" behindDoc="1" locked="0" layoutInCell="0" allowOverlap="1" wp14:anchorId="78F762C9" wp14:editId="4595A810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7" behindDoc="1" locked="0" layoutInCell="0" allowOverlap="1" wp14:anchorId="195D4F26" wp14:editId="2BB21669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33400391" w14:textId="77777777" w:rsidR="00446CA3" w:rsidRDefault="009C69F3">
    <w:pPr>
      <w:pStyle w:val="Cabealho"/>
      <w:jc w:val="center"/>
      <w:rPr>
        <w:rFonts w:ascii="Century" w:hAnsi="Century" w:hint="eastAsia"/>
        <w:b/>
        <w:bCs/>
      </w:rPr>
    </w:pPr>
    <w:r>
      <w:rPr>
        <w:rFonts w:ascii="Century" w:hAnsi="Century"/>
        <w:b/>
        <w:bCs/>
      </w:rPr>
      <w:t>MUNICÍPIO DE DOIS IRMÃOS</w:t>
    </w:r>
  </w:p>
  <w:p w14:paraId="39D59F87" w14:textId="77777777" w:rsidR="00446CA3" w:rsidRDefault="009C69F3">
    <w:pPr>
      <w:pStyle w:val="Cabealho"/>
      <w:jc w:val="center"/>
      <w:rPr>
        <w:rFonts w:ascii="Century" w:hAnsi="Century" w:hint="eastAsia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62640E"/>
    <w:multiLevelType w:val="multilevel"/>
    <w:tmpl w:val="7624E500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8D40143"/>
    <w:multiLevelType w:val="multilevel"/>
    <w:tmpl w:val="3EAE007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056614347">
    <w:abstractNumId w:val="0"/>
  </w:num>
  <w:num w:numId="2" w16cid:durableId="916266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CA3"/>
    <w:rsid w:val="00446CA3"/>
    <w:rsid w:val="006240A6"/>
    <w:rsid w:val="009C69F3"/>
    <w:rsid w:val="00FB6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E6E23"/>
  <w15:docId w15:val="{B9B4AF0F-50D7-43AF-B433-EED45B513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60D1BA-8921-4A69-A531-DEBFD4423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3</Pages>
  <Words>424</Words>
  <Characters>2292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 Rodrigues</cp:lastModifiedBy>
  <cp:revision>70</cp:revision>
  <cp:lastPrinted>2025-09-25T14:10:00Z</cp:lastPrinted>
  <dcterms:created xsi:type="dcterms:W3CDTF">2023-09-15T11:30:00Z</dcterms:created>
  <dcterms:modified xsi:type="dcterms:W3CDTF">2025-09-25T14:11:00Z</dcterms:modified>
  <dc:language>pt-BR</dc:language>
</cp:coreProperties>
</file>