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dodocumento"/>
        <w:spacing w:lineRule="auto" w:line="360" w:before="240" w:after="120"/>
        <w:jc w:val="center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PROJETO DE LEI Nº </w:t>
      </w:r>
      <w:bookmarkStart w:id="0" w:name="OLE_LINK3"/>
      <w:bookmarkStart w:id="1" w:name="OLE_LINK16"/>
      <w:bookmarkStart w:id="2" w:name="OLE_LINK11"/>
      <w:bookmarkStart w:id="3" w:name="OLE_LINK31"/>
      <w:bookmarkStart w:id="4" w:name="OLE_LINK4"/>
      <w:r>
        <w:rPr>
          <w:rFonts w:eastAsia="Noto Serif Light" w:cs="Noto Serif Light" w:ascii="Arial" w:hAnsi="Arial"/>
          <w:b/>
          <w:bCs/>
          <w:sz w:val="22"/>
          <w:szCs w:val="22"/>
        </w:rPr>
        <w:t>113/2025</w:t>
      </w:r>
    </w:p>
    <w:tbl>
      <w:tblPr>
        <w:tblW w:w="6157" w:type="dxa"/>
        <w:jc w:val="left"/>
        <w:tblInd w:w="3106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6157"/>
      </w:tblGrid>
      <w:tr>
        <w:trPr>
          <w:trHeight w:val="829" w:hRule="atLeast"/>
        </w:trPr>
        <w:tc>
          <w:tcPr>
            <w:tcW w:w="6157" w:type="dxa"/>
            <w:tcBorders/>
          </w:tcPr>
          <w:p>
            <w:pPr>
              <w:pStyle w:val="Normal"/>
              <w:widowControl w:val="false"/>
              <w:spacing w:lineRule="auto" w:line="360"/>
              <w:jc w:val="both"/>
              <w:rPr>
                <w:rFonts w:ascii="Arial" w:hAnsi="Arial" w:eastAsia="Noto Serif Light" w:cs="Noto Serif Light"/>
                <w:b/>
                <w:b/>
                <w:bCs/>
                <w:sz w:val="8"/>
                <w:szCs w:val="8"/>
              </w:rPr>
            </w:pPr>
            <w:r>
              <w:rPr>
                <w:rFonts w:eastAsia="Noto Serif Light" w:cs="Noto Serif Light" w:ascii="Arial" w:hAnsi="Arial"/>
                <w:b/>
                <w:bCs/>
                <w:sz w:val="8"/>
                <w:szCs w:val="8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/>
            </w:pP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“</w:t>
            </w: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AUTORIZA O PODER EXECUTIVO MUNICIPAL A ABRIR CRÉDITOS SUPLEMENTARES NO ORÇAMENTO DO CORRENTE EXERCÍCIO.”</w:t>
            </w:r>
          </w:p>
        </w:tc>
      </w:tr>
    </w:tbl>
    <w:p>
      <w:pPr>
        <w:pStyle w:val="Normal"/>
        <w:widowControl w:val="false"/>
        <w:spacing w:lineRule="auto" w:line="36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rFonts w:eastAsia="Noto Serif Light" w:cs="Noto Serif Light" w:ascii="Arial" w:hAnsi="Arial"/>
          <w:b/>
          <w:sz w:val="22"/>
          <w:szCs w:val="22"/>
        </w:rPr>
        <w:t>JERRI ADRIANI MENEGHETTI</w:t>
      </w:r>
      <w:r>
        <w:rPr>
          <w:rFonts w:eastAsia="Noto Serif Light" w:cs="Noto Serif Light" w:ascii="Arial" w:hAnsi="Arial"/>
          <w:sz w:val="22"/>
          <w:szCs w:val="22"/>
        </w:rPr>
        <w:t>, Prefeito Municipal de Dois Irmãos, RS,</w:t>
      </w:r>
      <w:r>
        <w:rPr>
          <w:rFonts w:eastAsia="Noto Serif Light" w:cs="Noto Serif Light" w:ascii="Arial" w:hAnsi="Arial"/>
          <w:b/>
          <w:sz w:val="22"/>
          <w:szCs w:val="22"/>
        </w:rPr>
        <w:t xml:space="preserve"> </w:t>
      </w:r>
      <w:r>
        <w:rPr>
          <w:rFonts w:eastAsia="Noto Serif Light" w:cs="Noto Serif Light" w:ascii="Arial" w:hAnsi="Arial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>
      <w:pPr>
        <w:pStyle w:val="Normal"/>
        <w:tabs>
          <w:tab w:val="clear" w:pos="709"/>
          <w:tab w:val="left" w:pos="2228" w:leader="none"/>
        </w:tabs>
        <w:spacing w:lineRule="auto" w:line="360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  <w:tab/>
        <w:tab/>
        <w:t xml:space="preserve">   </w:t>
        <w:tab/>
        <w:t xml:space="preserve">   </w:t>
        <w:tab/>
        <w:t xml:space="preserve">      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  L E I: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b/>
          <w:b/>
          <w:bCs/>
          <w:sz w:val="12"/>
          <w:szCs w:val="12"/>
        </w:rPr>
      </w:pPr>
      <w:r>
        <w:rPr>
          <w:rFonts w:cs="Arial" w:ascii="Arial" w:hAnsi="Arial"/>
          <w:b/>
          <w:bCs/>
          <w:sz w:val="12"/>
          <w:szCs w:val="12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ab/>
        <w:tab/>
      </w:r>
      <w:r>
        <w:rPr>
          <w:rFonts w:cs="Arial" w:ascii="Arial" w:hAnsi="Arial"/>
          <w:b/>
          <w:bCs/>
          <w:sz w:val="22"/>
          <w:szCs w:val="22"/>
        </w:rPr>
        <w:t>Art. 1º</w:t>
      </w:r>
      <w:r>
        <w:rPr>
          <w:rFonts w:cs="Arial" w:ascii="Arial" w:hAnsi="Arial"/>
          <w:sz w:val="22"/>
          <w:szCs w:val="22"/>
        </w:rPr>
        <w:t xml:space="preserve"> Fica o Poder Executivo Municipal autorizado a abrir crédito suplementar no Orçamento do Exercício de 2025, no montante de R$ 200.000,00 (duzentos mil reais) na seguinte classificação orçamentária: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8"/>
          <w:szCs w:val="8"/>
        </w:rPr>
      </w:pPr>
      <w:r>
        <w:rPr>
          <w:rFonts w:cs="Arial" w:ascii="Arial" w:hAnsi="Arial"/>
          <w:sz w:val="8"/>
          <w:szCs w:val="8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06.001.0015.0451.0017.2022 Manutenção da Frota e Equipamentos Rodoviários 3.3.3.9.0.39.00.00.00.00 Outros serviços de terceiros – PJ__________R$ 200.000,00;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2500.0001 Recurso Livre - Impostos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ab/>
        <w:tab/>
        <w:t>Art. 2º</w:t>
      </w:r>
      <w:r>
        <w:rPr>
          <w:rFonts w:cs="Arial" w:ascii="Arial" w:hAnsi="Arial"/>
          <w:sz w:val="22"/>
          <w:szCs w:val="22"/>
        </w:rPr>
        <w:t xml:space="preserve"> Servirá de recurso para a cobertura de que trata o artigo anterior, a redução das seguintes dotações orçamentárias: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06.002.0015.0452.0018.2027 Manutenção da Coleta Seletiva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rPr/>
      </w:pPr>
      <w:r>
        <w:rPr>
          <w:rFonts w:cs="Arial" w:ascii="Arial" w:hAnsi="Arial"/>
          <w:sz w:val="22"/>
          <w:szCs w:val="22"/>
        </w:rPr>
        <w:t>3.3.3.9.0.39.00.00.00.00 Outros serviços de terceiros - PJ c/1859____R$ 200.000,00;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2500.0001 Recurso Livre - Impostos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ab/>
        <w:tab/>
        <w:t>Art. 3º</w:t>
      </w:r>
      <w:r>
        <w:rPr>
          <w:rFonts w:cs="Arial" w:ascii="Arial" w:hAnsi="Arial"/>
          <w:sz w:val="22"/>
          <w:szCs w:val="22"/>
        </w:rPr>
        <w:t xml:space="preserve"> Fica o Poder Executivo Municipal autorizado a abrir crédito suplementar no Orçamento do Exercício de 2025, no montante de R$ 100.000,00 (cem mil reais) na seguinte classificação orçamentária: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rPr/>
      </w:pPr>
      <w:r>
        <w:rPr>
          <w:rFonts w:cs="Arial" w:ascii="Arial" w:hAnsi="Arial"/>
          <w:sz w:val="22"/>
          <w:szCs w:val="22"/>
        </w:rPr>
        <w:t>06.001.0015.0451.0017.2020 Manutenção de Vias e Áreas Públicas 3.3.3.9.0.39.00.00.00.00 Outros serviços de terceiros - PJ c/1815_____R$ 100.000,00;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rPr/>
      </w:pPr>
      <w:r>
        <w:rPr>
          <w:rFonts w:cs="Arial" w:ascii="Arial" w:hAnsi="Arial"/>
          <w:sz w:val="22"/>
          <w:szCs w:val="22"/>
        </w:rPr>
        <w:t xml:space="preserve">2500.0001 Recurso Livre - Impostos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2"/>
          <w:szCs w:val="12"/>
        </w:rPr>
      </w:pPr>
      <w:r>
        <w:rPr>
          <w:rFonts w:cs="Arial" w:ascii="Arial" w:hAnsi="Arial"/>
          <w:sz w:val="12"/>
          <w:szCs w:val="12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ab/>
        <w:tab/>
      </w:r>
      <w:r>
        <w:rPr>
          <w:rFonts w:cs="Arial" w:ascii="Arial" w:hAnsi="Arial"/>
          <w:b/>
          <w:bCs/>
          <w:sz w:val="22"/>
          <w:szCs w:val="22"/>
        </w:rPr>
        <w:t>Art. 4º</w:t>
      </w:r>
      <w:r>
        <w:rPr>
          <w:rFonts w:cs="Arial" w:ascii="Arial" w:hAnsi="Arial"/>
          <w:sz w:val="22"/>
          <w:szCs w:val="22"/>
        </w:rPr>
        <w:t xml:space="preserve"> Servirá de recurso para a cobertura de que trata o artigo anterior, a redução da seguinte dotação orçamentária: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/>
      </w:pPr>
      <w:r>
        <w:rPr>
          <w:rFonts w:cs="Arial" w:ascii="Arial" w:hAnsi="Arial"/>
          <w:sz w:val="22"/>
          <w:szCs w:val="22"/>
        </w:rPr>
        <w:t>06.002.0015.0452.0018.2026 Manutenção dos Serviços de Limpeza Pública 3.3.3.9.0.34.00.00.00.00 Outras despesas de pessoal decorrentes de contratos de terceirização c/1871__________________________________________R$ 36.000,00;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rPr/>
      </w:pPr>
      <w:r>
        <w:rPr>
          <w:rFonts w:cs="Arial" w:ascii="Arial" w:hAnsi="Arial"/>
          <w:sz w:val="22"/>
          <w:szCs w:val="22"/>
        </w:rPr>
        <w:t xml:space="preserve">2500.0001 Recurso Livre - Impostos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/>
      </w:pPr>
      <w:r>
        <w:rPr>
          <w:rFonts w:cs="Arial" w:ascii="Arial" w:hAnsi="Arial"/>
          <w:sz w:val="22"/>
          <w:szCs w:val="22"/>
        </w:rPr>
        <w:t xml:space="preserve">06.002.0015.0452.0018.2027 Manutenção da Coleta Seletiva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/>
      </w:pPr>
      <w:r>
        <w:rPr>
          <w:rFonts w:cs="Arial" w:ascii="Arial" w:hAnsi="Arial"/>
          <w:sz w:val="22"/>
          <w:szCs w:val="22"/>
        </w:rPr>
        <w:t xml:space="preserve">3.3.3.9.0.39.00.00.00.00 Outros serviços de terceiros - PJ c/1859______R$ 64.000,00;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/>
      </w:pPr>
      <w:r>
        <w:rPr>
          <w:rFonts w:cs="Arial" w:ascii="Arial" w:hAnsi="Arial"/>
          <w:sz w:val="22"/>
          <w:szCs w:val="22"/>
        </w:rPr>
        <w:t xml:space="preserve">2500.0001 Recurso Livre - Impostos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ab/>
        <w:tab/>
        <w:t>Art. 5º</w:t>
      </w:r>
      <w:r>
        <w:rPr>
          <w:rFonts w:cs="Arial" w:ascii="Arial" w:hAnsi="Arial"/>
          <w:sz w:val="22"/>
          <w:szCs w:val="22"/>
        </w:rPr>
        <w:t xml:space="preserve"> Fica o Poder Executivo Municipal autorizado a abrir crédito suplementar no Orçamento do Exercício de 2025, no montante de R$ 28.546,00 (vinte e oito mil, quinhentos e quarenta e seis reais) na seguinte classificação orçamentária: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06.002.0017.0512.0019.2034 Manutenção da Rede de Distribuição de Água 3.3.3.9.0.39.00.00.00.00 Outros serviços de terceiros - PJ c/1870_______R$ 5.000,00;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2500.0001 Recurso Livre - Impostos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3.4.4.9.0.52.00.00.00.00 Equipamentos e material permanente________R$ 23.546,00;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2500.0001 Recurso Livre - Impostos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ab/>
        <w:tab/>
      </w:r>
      <w:r>
        <w:rPr>
          <w:rFonts w:cs="Arial" w:ascii="Arial" w:hAnsi="Arial"/>
          <w:b/>
          <w:bCs/>
          <w:sz w:val="22"/>
          <w:szCs w:val="22"/>
        </w:rPr>
        <w:t>Art. 6º</w:t>
      </w:r>
      <w:r>
        <w:rPr>
          <w:rFonts w:cs="Arial" w:ascii="Arial" w:hAnsi="Arial"/>
          <w:sz w:val="22"/>
          <w:szCs w:val="22"/>
        </w:rPr>
        <w:t xml:space="preserve"> Servirá de recurso para a cobertura de que trata o artigo anterior, a redução da seguinte dotação orçamentária: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06.002.0015.0452.0018.2027 Manutenção da Coleta Seletiva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3.3.3.9.0.34.00.00.00.00 Outros serviços de terceiros - PJ c/1859______R$ 28.546,00;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2500.0001 Recurso Livre - Impostos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Art. 7º </w:t>
      </w:r>
      <w:r>
        <w:rPr>
          <w:rFonts w:eastAsia="Noto Serif Light" w:cs="Noto Serif Light" w:ascii="Arial" w:hAnsi="Arial"/>
          <w:sz w:val="22"/>
          <w:szCs w:val="22"/>
        </w:rPr>
        <w:t>Esta Lei entra em vigor na data de sua publicação.</w:t>
      </w:r>
    </w:p>
    <w:p>
      <w:pPr>
        <w:pStyle w:val="Normal"/>
        <w:spacing w:lineRule="auto" w:line="360"/>
        <w:ind w:firstLine="709"/>
        <w:jc w:val="both"/>
        <w:rPr>
          <w:rFonts w:ascii="Arial" w:hAnsi="Arial" w:eastAsia="Noto Serif Light" w:cs="Arial"/>
          <w:sz w:val="12"/>
          <w:szCs w:val="12"/>
        </w:rPr>
      </w:pPr>
      <w:r>
        <w:rPr>
          <w:rFonts w:eastAsia="Noto Serif Light" w:cs="Arial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  <w:tab/>
      </w:r>
      <w:bookmarkStart w:id="5" w:name="OLE_LINK21"/>
      <w:bookmarkStart w:id="6" w:name="OLE_LINK41"/>
      <w:bookmarkStart w:id="7" w:name="OLE_LINK161"/>
      <w:bookmarkStart w:id="8" w:name="OLE_LINK51"/>
      <w:bookmarkStart w:id="9" w:name="OLE_LINK5"/>
      <w:r>
        <w:rPr>
          <w:rFonts w:eastAsia="Noto Serif Light" w:cs="Noto Serif Light" w:ascii="Arial" w:hAnsi="Arial"/>
          <w:sz w:val="22"/>
          <w:szCs w:val="22"/>
        </w:rPr>
        <w:t>GABINETE DO PREFEITO MUNICIPAL DE DOIS IRMÃOS/RS, EM 25 DE SETEMBRO DE 2025.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JERRI ADRIANI MENEGHETTI,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/>
      </w:pPr>
      <w:r>
        <w:rPr>
          <w:rFonts w:eastAsia="Noto Serif Light" w:cs="Noto Serif Light" w:ascii="Arial" w:hAnsi="Arial"/>
          <w:b/>
          <w:sz w:val="22"/>
          <w:szCs w:val="22"/>
        </w:rPr>
        <w:t>E</w:t>
      </w:r>
      <w:bookmarkStart w:id="10" w:name="OLE_LINK7"/>
      <w:bookmarkStart w:id="11" w:name="OLE_LINK18"/>
      <w:bookmarkStart w:id="12" w:name="OLE_LINK8"/>
      <w:bookmarkStart w:id="13" w:name="OLE_LINK6"/>
      <w:bookmarkStart w:id="14" w:name="OLE_LINK52"/>
      <w:r>
        <w:rPr>
          <w:rFonts w:eastAsia="Noto Serif Light" w:cs="Noto Serif Light" w:ascii="Arial" w:hAnsi="Arial"/>
          <w:b/>
          <w:sz w:val="22"/>
          <w:szCs w:val="22"/>
        </w:rPr>
        <w:t>XPOSIÇÃO DE MOTIVOS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  <w:t>Encaminhamos o presente Projeto de Lei nº 113/2025 que “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>AUTORIZA O PODER EXECUTIVO MUNICIPAL A ABRIR CRÉDITOS SUPLEMENTARES NO ORÇAMENTO DO CORRENTE EXERCÍCIO</w:t>
      </w:r>
      <w:r>
        <w:rPr>
          <w:rFonts w:eastAsia="Noto Serif Light" w:cs="Noto Serif Light" w:ascii="Arial" w:hAnsi="Arial"/>
          <w:sz w:val="22"/>
          <w:szCs w:val="22"/>
        </w:rPr>
        <w:t>” para apreciação e deliberação dos senhores Edis.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</w:rPr>
      </w:pPr>
      <w:r>
        <w:rPr>
          <w:rFonts w:eastAsia="Noto Serif Light" w:cs="Noto Serif Light" w:ascii="Arial" w:hAnsi="Arial"/>
        </w:rPr>
      </w:r>
    </w:p>
    <w:p>
      <w:pPr>
        <w:pStyle w:val="LONormal"/>
        <w:spacing w:lineRule="auto" w:line="360"/>
        <w:jc w:val="both"/>
        <w:rPr>
          <w:rFonts w:ascii="Arial" w:hAnsi="Arial" w:cs="Arial"/>
          <w:bCs/>
          <w:sz w:val="22"/>
          <w:szCs w:val="22"/>
        </w:rPr>
      </w:pPr>
      <w:r>
        <w:rPr>
          <w:rFonts w:eastAsia="Noto Serif Light" w:cs="Arial" w:ascii="Arial" w:hAnsi="Arial"/>
          <w:sz w:val="22"/>
          <w:szCs w:val="22"/>
        </w:rPr>
        <w:tab/>
        <w:t xml:space="preserve">A presente proposição foi apresentada pela Secretaria Municipal de Infraestrutura e Serviços Públicos, através do Memorando Interno, com vistas a </w:t>
      </w:r>
      <w:r>
        <w:rPr>
          <w:rFonts w:eastAsia="Noto Serif Light" w:cs="Arial" w:ascii="Arial" w:hAnsi="Arial"/>
          <w:bCs/>
          <w:sz w:val="22"/>
          <w:szCs w:val="22"/>
        </w:rPr>
        <w:t>abertura de crédito suplementar</w:t>
      </w:r>
      <w:r>
        <w:rPr>
          <w:rFonts w:cs="Arial" w:ascii="Arial" w:hAnsi="Arial"/>
          <w:bCs/>
          <w:sz w:val="22"/>
          <w:szCs w:val="22"/>
        </w:rPr>
        <w:t xml:space="preserve">. A abertura do crédito suplementar se faz necessária para cobrir gastos com a manutenção da frota de veículos da Secretaria; cobrir gastos com a contratação de serviços de colocação de blocos de concreto, pedras irregulares e blocos meio-fio; cobrir gastos com a contratação de serviços de retirada e reinstalação de bomba submersa e cobrir gastos com a aquisição de bombas submersas para uso nos poços artesianos. </w:t>
      </w:r>
    </w:p>
    <w:p>
      <w:pPr>
        <w:pStyle w:val="LONormal"/>
        <w:spacing w:lineRule="auto" w:line="360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</w:r>
    </w:p>
    <w:p>
      <w:pPr>
        <w:pStyle w:val="LONormal"/>
        <w:spacing w:lineRule="auto" w:line="360"/>
        <w:jc w:val="both"/>
        <w:rPr/>
      </w:pPr>
      <w:r>
        <w:rPr>
          <w:rFonts w:cs="Arial" w:ascii="Arial" w:hAnsi="Arial"/>
          <w:bCs/>
          <w:sz w:val="22"/>
          <w:szCs w:val="22"/>
        </w:rPr>
        <w:tab/>
      </w:r>
      <w:r>
        <w:rPr>
          <w:rFonts w:eastAsia="Noto Serif Light" w:cs="Arial" w:ascii="Arial" w:hAnsi="Arial"/>
          <w:sz w:val="22"/>
          <w:szCs w:val="22"/>
        </w:rPr>
        <w:t>Aproveitamos o ensejo para renovar protestos de elevado apreço e consideração</w:t>
      </w:r>
      <w:r>
        <w:rPr>
          <w:rFonts w:eastAsia="Noto Serif Light" w:cs="Arial" w:ascii="Arial" w:hAnsi="Arial"/>
          <w:b/>
          <w:bCs/>
          <w:sz w:val="22"/>
          <w:szCs w:val="22"/>
        </w:rPr>
        <w:t>.</w:t>
      </w:r>
    </w:p>
    <w:p>
      <w:pPr>
        <w:pStyle w:val="Normal"/>
        <w:spacing w:lineRule="auto" w:line="360"/>
        <w:jc w:val="both"/>
        <w:rPr>
          <w:rFonts w:ascii="Arial" w:hAnsi="Arial" w:eastAsia="Noto Serif Light" w:cs="Arial"/>
          <w:b/>
          <w:b/>
          <w:bCs/>
          <w:sz w:val="22"/>
          <w:szCs w:val="22"/>
        </w:rPr>
      </w:pPr>
      <w:r>
        <w:rPr>
          <w:rFonts w:eastAsia="Noto Serif Light" w:cs="Arial" w:ascii="Arial" w:hAnsi="Arial"/>
          <w:b/>
          <w:bCs/>
          <w:sz w:val="22"/>
          <w:szCs w:val="22"/>
        </w:rPr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JERRI ADRIANI MENEGHETTI,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360"/>
        <w:ind w:firstLine="1701"/>
        <w:jc w:val="both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1134" w:gutter="0" w:header="720" w:top="1985" w:footer="72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Consolas">
    <w:charset w:val="00"/>
    <w:family w:val="roman"/>
    <w:pitch w:val="variable"/>
  </w:font>
  <w:font w:name="Arial">
    <w:charset w:val="00"/>
    <w:family w:val="roman"/>
    <w:pitch w:val="variable"/>
  </w:font>
  <w:font w:name="Noto Serif">
    <w:charset w:val="00"/>
    <w:family w:val="roman"/>
    <w:pitch w:val="variable"/>
  </w:font>
  <w:font w:name="Courier New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Liberation Mono">
    <w:altName w:val="Courier New"/>
    <w:charset w:val="00"/>
    <w:family w:val="roman"/>
    <w:pitch w:val="variable"/>
  </w:font>
  <w:font w:name="Century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tabs>
        <w:tab w:val="clear" w:pos="4819"/>
        <w:tab w:val="clear" w:pos="9638"/>
        <w:tab w:val="right" w:pos="9584" w:leader="none"/>
      </w:tabs>
      <w:jc w:val="center"/>
      <w:rPr>
        <w:rFonts w:ascii="Century" w:hAnsi="Century"/>
        <w:b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jc w:val="center"/>
      <w:rPr/>
    </w:pPr>
    <w:r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7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>
    <w:pPr>
      <w:pStyle w:val="Cabealho"/>
      <w:jc w:val="center"/>
      <w:rPr>
        <w:rFonts w:ascii="Century" w:hAnsi="Century"/>
        <w:b/>
        <w:b/>
        <w:bCs/>
      </w:rPr>
    </w:pPr>
    <w:r>
      <w:rPr>
        <w:rFonts w:ascii="Century" w:hAnsi="Century"/>
        <w:b/>
        <w:bCs/>
      </w:rPr>
      <w:t>MUNICÍPIO DE DOIS IRMÃOS</w:t>
    </w:r>
  </w:p>
  <w:p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fals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Ttulo1">
    <w:name w:val="Heading 1"/>
    <w:basedOn w:val="Ttulododocumento"/>
    <w:uiPriority w:val="9"/>
    <w:qFormat/>
    <w:pPr>
      <w:numPr>
        <w:ilvl w:val="0"/>
        <w:numId w:val="1"/>
      </w:numPr>
      <w:outlineLvl w:val="0"/>
    </w:pPr>
    <w:rPr/>
  </w:style>
  <w:style w:type="paragraph" w:styleId="Ttulo2">
    <w:name w:val="Heading 2"/>
    <w:basedOn w:val="Ttulododocumento"/>
    <w:uiPriority w:val="9"/>
    <w:semiHidden/>
    <w:unhideWhenUsed/>
    <w:qFormat/>
    <w:pPr>
      <w:numPr>
        <w:ilvl w:val="1"/>
        <w:numId w:val="1"/>
      </w:numPr>
      <w:outlineLvl w:val="1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1" w:customStyle="1">
    <w:name w:val="Fonte parág. padrão1"/>
    <w:qFormat/>
    <w:rPr/>
  </w:style>
  <w:style w:type="character" w:styleId="LinkdaInternet" w:customStyle="1">
    <w:name w:val="Link da Internet"/>
    <w:basedOn w:val="Fontepargpadro1"/>
    <w:rPr>
      <w:color w:val="000080"/>
      <w:u w:val="single"/>
    </w:rPr>
  </w:style>
  <w:style w:type="character" w:styleId="Marcadores" w:customStyle="1">
    <w:name w:val="Marcadores"/>
    <w:qFormat/>
    <w:rPr>
      <w:rFonts w:ascii="OpenSymbol" w:hAnsi="OpenSymbol" w:eastAsia="OpenSymbol" w:cs="OpenSymbol"/>
    </w:rPr>
  </w:style>
  <w:style w:type="character" w:styleId="Smbolosdenumerao" w:customStyle="1">
    <w:name w:val="Símbolos de numeração"/>
    <w:qFormat/>
    <w:rPr/>
  </w:style>
  <w:style w:type="character" w:styleId="Nfaseforte" w:customStyle="1">
    <w:name w:val="Ênfase forte"/>
    <w:qFormat/>
    <w:rPr>
      <w:b/>
      <w:bCs/>
    </w:rPr>
  </w:style>
  <w:style w:type="character" w:styleId="Nfase">
    <w:name w:val="Ênfase"/>
    <w:qFormat/>
    <w:rPr>
      <w:i/>
      <w:iCs/>
    </w:rPr>
  </w:style>
  <w:style w:type="character" w:styleId="TextosemFormataoChar" w:customStyle="1">
    <w:name w:val="Texto sem Formatação Char"/>
    <w:qFormat/>
    <w:rPr>
      <w:rFonts w:ascii="Consolas" w:hAnsi="Consolas" w:eastAsia="Times New Roman" w:cs="Consolas"/>
      <w:sz w:val="21"/>
      <w:szCs w:val="21"/>
    </w:rPr>
  </w:style>
  <w:style w:type="character" w:styleId="Ttulo2Char" w:customStyle="1">
    <w:name w:val="Título 2 Char"/>
    <w:qFormat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RecuodecorpodetextoChar" w:customStyle="1">
    <w:name w:val="Recuo de corpo de texto Char"/>
    <w:qFormat/>
    <w:rPr>
      <w:rFonts w:ascii="Arial" w:hAnsi="Arial" w:eastAsia="Times New Roman" w:cs="Arial"/>
      <w:sz w:val="20"/>
      <w:szCs w:val="20"/>
    </w:rPr>
  </w:style>
  <w:style w:type="character" w:styleId="Corpodetexto2Char" w:customStyle="1">
    <w:name w:val="Corpo de texto 2 Char"/>
    <w:qFormat/>
    <w:rPr>
      <w:rFonts w:ascii="Times New Roman" w:hAnsi="Times New Roman" w:eastAsia="Times New Roman" w:cs="Times New Roman"/>
      <w:sz w:val="20"/>
      <w:szCs w:val="20"/>
    </w:rPr>
  </w:style>
  <w:style w:type="character" w:styleId="TextodenotaderodapChar" w:customStyle="1">
    <w:name w:val="Texto de nota de rodapé Char"/>
    <w:qFormat/>
    <w:rPr>
      <w:rFonts w:ascii="Times New Roman" w:hAnsi="Times New Roman" w:eastAsia="Times New Roman" w:cs="Times New Roman"/>
      <w:sz w:val="20"/>
      <w:szCs w:val="20"/>
    </w:rPr>
  </w:style>
  <w:style w:type="character" w:styleId="WW8Num1z8" w:customStyle="1">
    <w:name w:val="WW8Num1z8"/>
    <w:qFormat/>
    <w:rPr/>
  </w:style>
  <w:style w:type="character" w:styleId="WW8Num1z7" w:customStyle="1">
    <w:name w:val="WW8Num1z7"/>
    <w:qFormat/>
    <w:rPr/>
  </w:style>
  <w:style w:type="character" w:styleId="WW8Num1z6" w:customStyle="1">
    <w:name w:val="WW8Num1z6"/>
    <w:qFormat/>
    <w:rPr/>
  </w:style>
  <w:style w:type="character" w:styleId="WW8Num1z5" w:customStyle="1">
    <w:name w:val="WW8Num1z5"/>
    <w:qFormat/>
    <w:rPr/>
  </w:style>
  <w:style w:type="character" w:styleId="WW8Num1z4" w:customStyle="1">
    <w:name w:val="WW8Num1z4"/>
    <w:qFormat/>
    <w:rPr/>
  </w:style>
  <w:style w:type="character" w:styleId="WW8Num1z3" w:customStyle="1">
    <w:name w:val="WW8Num1z3"/>
    <w:qFormat/>
    <w:rPr/>
  </w:style>
  <w:style w:type="character" w:styleId="WW8Num1z2" w:customStyle="1">
    <w:name w:val="WW8Num1z2"/>
    <w:qFormat/>
    <w:rPr/>
  </w:style>
  <w:style w:type="character" w:styleId="WW8Num1z1" w:customStyle="1">
    <w:name w:val="WW8Num1z1"/>
    <w:qFormat/>
    <w:rPr/>
  </w:style>
  <w:style w:type="character" w:styleId="WW8Num1z0" w:customStyle="1">
    <w:name w:val="WW8Num1z0"/>
    <w:qFormat/>
    <w:rPr/>
  </w:style>
  <w:style w:type="character" w:styleId="WW8Num2z0" w:customStyle="1">
    <w:name w:val="WW8Num2z0"/>
    <w:qFormat/>
    <w:rPr>
      <w:rFonts w:ascii="Noto Serif" w:hAnsi="Noto Serif" w:eastAsia="Noto Serif" w:cs="Noto Serif"/>
      <w:b w:val="false"/>
      <w:bCs w:val="false"/>
      <w:sz w:val="22"/>
      <w:szCs w:val="22"/>
    </w:rPr>
  </w:style>
  <w:style w:type="character" w:styleId="WW8Num2z1" w:customStyle="1">
    <w:name w:val="WW8Num2z1"/>
    <w:qFormat/>
    <w:rPr/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WW8Num3z0" w:customStyle="1">
    <w:name w:val="WW8Num3z0"/>
    <w:qFormat/>
    <w:rPr/>
  </w:style>
  <w:style w:type="character" w:styleId="WW8Num3z1" w:customStyle="1">
    <w:name w:val="WW8Num3z1"/>
    <w:qFormat/>
    <w:rPr/>
  </w:style>
  <w:style w:type="character" w:styleId="WW8Num3z2" w:customStyle="1">
    <w:name w:val="WW8Num3z2"/>
    <w:qFormat/>
    <w:rPr/>
  </w:style>
  <w:style w:type="character" w:styleId="WW8Num3z3" w:customStyle="1">
    <w:name w:val="WW8Num3z3"/>
    <w:qFormat/>
    <w:rPr/>
  </w:style>
  <w:style w:type="character" w:styleId="WW8Num3z4" w:customStyle="1">
    <w:name w:val="WW8Num3z4"/>
    <w:qFormat/>
    <w:rPr/>
  </w:style>
  <w:style w:type="character" w:styleId="WW8Num3z5" w:customStyle="1">
    <w:name w:val="WW8Num3z5"/>
    <w:qFormat/>
    <w:rPr/>
  </w:style>
  <w:style w:type="character" w:styleId="WW8Num3z6" w:customStyle="1">
    <w:name w:val="WW8Num3z6"/>
    <w:qFormat/>
    <w:rPr/>
  </w:style>
  <w:style w:type="character" w:styleId="WW8Num3z7" w:customStyle="1">
    <w:name w:val="WW8Num3z7"/>
    <w:qFormat/>
    <w:rPr/>
  </w:style>
  <w:style w:type="character" w:styleId="WW8Num3z8" w:customStyle="1">
    <w:name w:val="WW8Num3z8"/>
    <w:qFormat/>
    <w:rPr/>
  </w:style>
  <w:style w:type="character" w:styleId="WW8Num4z1" w:customStyle="1">
    <w:name w:val="WW8Num4z1"/>
    <w:qFormat/>
    <w:rPr>
      <w:rFonts w:ascii="Courier New" w:hAnsi="Courier New" w:eastAsia="Courier New" w:cs="Courier New"/>
      <w:sz w:val="20"/>
    </w:rPr>
  </w:style>
  <w:style w:type="character" w:styleId="WW8Num5z1" w:customStyle="1">
    <w:name w:val="WW8Num5z1"/>
    <w:qFormat/>
    <w:rPr>
      <w:rFonts w:ascii="Courier New" w:hAnsi="Courier New" w:eastAsia="Courier New" w:cs="Courier New"/>
      <w:sz w:val="20"/>
    </w:rPr>
  </w:style>
  <w:style w:type="character" w:styleId="WW8Num6z1" w:customStyle="1">
    <w:name w:val="WW8Num6z1"/>
    <w:qFormat/>
    <w:rPr>
      <w:rFonts w:ascii="Courier New" w:hAnsi="Courier New" w:eastAsia="Courier New" w:cs="Courier New"/>
      <w:sz w:val="20"/>
    </w:rPr>
  </w:style>
  <w:style w:type="character" w:styleId="WW8Num7z1" w:customStyle="1">
    <w:name w:val="WW8Num7z1"/>
    <w:qFormat/>
    <w:rPr>
      <w:rFonts w:ascii="Courier New" w:hAnsi="Courier New" w:eastAsia="Courier New" w:cs="Courier New"/>
      <w:sz w:val="20"/>
    </w:rPr>
  </w:style>
  <w:style w:type="character" w:styleId="WW8Num8z1" w:customStyle="1">
    <w:name w:val="WW8Num8z1"/>
    <w:qFormat/>
    <w:rPr>
      <w:rFonts w:ascii="Courier New" w:hAnsi="Courier New" w:eastAsia="Courier New" w:cs="Courier New"/>
      <w:sz w:val="20"/>
    </w:rPr>
  </w:style>
  <w:style w:type="character" w:styleId="CorpodetextoChar" w:customStyle="1">
    <w:name w:val="Corpo de texto Char"/>
    <w:qFormat/>
    <w:rPr>
      <w:rFonts w:ascii="Times New Roman" w:hAnsi="Times New Roman" w:eastAsia="Times New Roman" w:cs="Times New Roman"/>
      <w:szCs w:val="20"/>
    </w:rPr>
  </w:style>
  <w:style w:type="character" w:styleId="RecuodecorpodetextoChar1" w:customStyle="1">
    <w:name w:val="Recuo de corpo de texto Char1"/>
    <w:basedOn w:val="DefaultParagraphFont"/>
    <w:qFormat/>
    <w:rPr>
      <w:rFonts w:ascii="Times New Roman" w:hAnsi="Times New Roman" w:eastAsia="Times New Roman" w:cs="Times New Roman"/>
      <w:kern w:val="0"/>
      <w:lang w:bidi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before="0" w:after="283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Normal"/>
    <w:next w:val="Corpodotexto"/>
    <w:uiPriority w:val="10"/>
    <w:qFormat/>
    <w:pPr>
      <w:keepNext w:val="true"/>
      <w:spacing w:before="240" w:after="120"/>
    </w:pPr>
    <w:rPr>
      <w:rFonts w:ascii="Liberation Sans" w:hAnsi="Liberation Sans" w:eastAsia="Microsoft YaHei" w:cs="Liberation 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Contedodatabela" w:customStyle="1">
    <w:name w:val="Conteúdo da tabela"/>
    <w:basedOn w:val="Normal"/>
    <w:qFormat/>
    <w:pPr>
      <w:suppressLineNumbers/>
    </w:pPr>
    <w:rPr/>
  </w:style>
  <w:style w:type="paragraph" w:styleId="CabealhoeRodap" w:customStyle="1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lineRule="atLeast" w:line="100" w:before="100" w:after="119"/>
    </w:pPr>
    <w:rPr>
      <w:rFonts w:eastAsia="Times New Roman" w:cs="Times New Roman"/>
    </w:rPr>
  </w:style>
  <w:style w:type="paragraph" w:styleId="Western" w:customStyle="1">
    <w:name w:val="western"/>
    <w:basedOn w:val="Normal"/>
    <w:qFormat/>
    <w:pPr>
      <w:spacing w:before="280" w:after="280"/>
    </w:pPr>
    <w:rPr/>
  </w:style>
  <w:style w:type="paragraph" w:styleId="Padro" w:customStyle="1">
    <w:name w:val="Padrão"/>
    <w:qFormat/>
    <w:pPr>
      <w:widowControl w:val="false"/>
      <w:tabs>
        <w:tab w:val="left" w:pos="709" w:leader="none"/>
      </w:tabs>
      <w:suppressAutoHyphens w:val="true"/>
      <w:bidi w:val="0"/>
      <w:spacing w:lineRule="atLeast" w:line="100" w:before="0" w:after="0"/>
      <w:jc w:val="left"/>
    </w:pPr>
    <w:rPr>
      <w:rFonts w:ascii="Times New Roman" w:hAnsi="Times New Roman" w:eastAsia="Lucida Sans Unicode" w:cs="Times New Roman"/>
      <w:color w:val="00000A"/>
      <w:kern w:val="2"/>
      <w:sz w:val="24"/>
      <w:szCs w:val="24"/>
      <w:lang w:eastAsia="hi-IN" w:bidi="pt-BR" w:val="pt-BR"/>
    </w:rPr>
  </w:style>
  <w:style w:type="paragraph" w:styleId="Textoprformatado" w:customStyle="1">
    <w:name w:val="Texto préformatado"/>
    <w:basedOn w:val="Normal"/>
    <w:qFormat/>
    <w:pPr/>
    <w:rPr>
      <w:rFonts w:ascii="Liberation Mono" w:hAnsi="Liberation Mono" w:eastAsia="NSimSun" w:cs="Liberation Mono"/>
      <w:sz w:val="20"/>
      <w:szCs w:val="20"/>
    </w:rPr>
  </w:style>
  <w:style w:type="paragraph" w:styleId="Corpodotextorecuado">
    <w:name w:val="Body Text Indent"/>
    <w:basedOn w:val="LONormal"/>
    <w:qFormat/>
    <w:pPr>
      <w:spacing w:before="0" w:after="120"/>
      <w:ind w:left="283" w:hanging="0"/>
    </w:pPr>
    <w:rPr>
      <w:rFonts w:ascii="Times New Roman" w:hAnsi="Times New Roman" w:eastAsia="Times New Roman" w:cs="Times New Roman"/>
      <w:kern w:val="0"/>
      <w:lang w:bidi="ar-SA"/>
    </w:rPr>
  </w:style>
  <w:style w:type="paragraph" w:styleId="PlainText">
    <w:name w:val="Plain Text"/>
    <w:basedOn w:val="Normal"/>
    <w:qFormat/>
    <w:pPr/>
    <w:rPr>
      <w:rFonts w:ascii="Consolas" w:hAnsi="Consolas" w:eastAsia="Times New Roman" w:cs="Consolas"/>
      <w:sz w:val="21"/>
      <w:szCs w:val="21"/>
      <w:lang w:eastAsia="ar-SA"/>
    </w:rPr>
  </w:style>
  <w:style w:type="paragraph" w:styleId="BodyText2">
    <w:name w:val="Body Text 2"/>
    <w:basedOn w:val="Normal"/>
    <w:qFormat/>
    <w:pPr>
      <w:spacing w:lineRule="auto" w:line="480" w:before="0" w:after="120"/>
    </w:pPr>
    <w:rPr>
      <w:rFonts w:ascii="Times New Roman" w:hAnsi="Times New Roman" w:eastAsia="Times New Roman" w:cs="Times New Roman"/>
      <w:lang w:eastAsia="ar-SA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Liberation Serif" w:cs="Liberation Serif"/>
      <w:color w:val="000000"/>
      <w:kern w:val="2"/>
      <w:sz w:val="24"/>
      <w:szCs w:val="24"/>
      <w:lang w:eastAsia="hi-IN" w:val="pt-BR" w:bidi="hi-IN"/>
    </w:rPr>
  </w:style>
  <w:style w:type="paragraph" w:styleId="ListParagraph">
    <w:name w:val="List Paragraph"/>
    <w:basedOn w:val="Normal"/>
    <w:qFormat/>
    <w:pPr>
      <w:ind w:left="708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512</TotalTime>
  <Application>LibreOffice/7.3.7.2$Windows_X86_64 LibreOffice_project/e114eadc50a9ff8d8c8a0567d6da8f454beeb84f</Application>
  <AppVersion>15.0000</AppVersion>
  <Pages>3</Pages>
  <Words>574</Words>
  <Characters>3656</Characters>
  <CharactersWithSpaces>4237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2023-09-15T11:30:00Z</dcterms:created>
  <dc:creator/>
  <dc:description/>
  <dc:language>pt-BR</dc:language>
  <cp:lastModifiedBy/>
  <cp:lastPrinted>2025-09-18T12:35:00Z</cp:lastPrinted>
  <dcterms:modified xsi:type="dcterms:W3CDTF">2025-09-25T09:32:11Z</dcterms:modified>
  <cp:revision>68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