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tulododocumento"/>
        <w:spacing w:lineRule="auto" w:line="360" w:before="240" w:after="120"/>
        <w:jc w:val="center"/>
        <w:rPr/>
      </w:pPr>
      <w:r>
        <w:rPr>
          <w:rFonts w:eastAsia="Noto Serif Light" w:cs="Noto Serif Light" w:ascii="Arial" w:hAnsi="Arial"/>
          <w:b/>
          <w:bCs/>
          <w:sz w:val="22"/>
          <w:szCs w:val="22"/>
        </w:rPr>
        <w:t xml:space="preserve">PROJETO DE LEI Nº </w:t>
      </w:r>
      <w:bookmarkStart w:id="0" w:name="OLE_LINK4"/>
      <w:bookmarkStart w:id="1" w:name="OLE_LINK31"/>
      <w:bookmarkStart w:id="2" w:name="OLE_LINK11"/>
      <w:bookmarkStart w:id="3" w:name="OLE_LINK16"/>
      <w:bookmarkStart w:id="4" w:name="OLE_LINK3"/>
      <w:r>
        <w:rPr>
          <w:rFonts w:eastAsia="Noto Serif Light" w:cs="Noto Serif Light" w:ascii="Arial" w:hAnsi="Arial"/>
          <w:b/>
          <w:bCs/>
          <w:sz w:val="22"/>
          <w:szCs w:val="22"/>
        </w:rPr>
        <w:t>1</w:t>
      </w:r>
      <w:r>
        <w:rPr>
          <w:rFonts w:eastAsia="Noto Serif Light" w:cs="Noto Serif Light" w:ascii="Arial" w:hAnsi="Arial"/>
          <w:b/>
          <w:bCs/>
          <w:sz w:val="22"/>
          <w:szCs w:val="22"/>
        </w:rPr>
        <w:t>25</w:t>
      </w:r>
      <w:r>
        <w:rPr>
          <w:rFonts w:eastAsia="Noto Serif Light" w:cs="Noto Serif Light" w:ascii="Arial" w:hAnsi="Arial"/>
          <w:b/>
          <w:bCs/>
          <w:sz w:val="22"/>
          <w:szCs w:val="22"/>
        </w:rPr>
        <w:t>/2025</w:t>
      </w:r>
    </w:p>
    <w:tbl>
      <w:tblPr>
        <w:tblW w:w="6157" w:type="dxa"/>
        <w:jc w:val="left"/>
        <w:tblInd w:w="3106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6157"/>
      </w:tblGrid>
      <w:tr>
        <w:trPr>
          <w:trHeight w:val="829" w:hRule="atLeast"/>
        </w:trPr>
        <w:tc>
          <w:tcPr>
            <w:tcW w:w="6157" w:type="dxa"/>
            <w:tcBorders/>
          </w:tcPr>
          <w:p>
            <w:pPr>
              <w:pStyle w:val="Normal"/>
              <w:widowControl w:val="false"/>
              <w:spacing w:lineRule="auto" w:line="360"/>
              <w:jc w:val="both"/>
              <w:rPr>
                <w:rFonts w:ascii="Arial" w:hAnsi="Arial" w:eastAsia="Noto Serif Light" w:cs="Noto Serif Light"/>
                <w:b/>
                <w:b/>
                <w:bCs/>
                <w:sz w:val="8"/>
                <w:szCs w:val="8"/>
              </w:rPr>
            </w:pPr>
            <w:r>
              <w:rPr>
                <w:rFonts w:eastAsia="Noto Serif Light" w:cs="Noto Serif Light" w:ascii="Arial" w:hAnsi="Arial"/>
                <w:b/>
                <w:bCs/>
                <w:sz w:val="8"/>
                <w:szCs w:val="8"/>
              </w:rPr>
            </w:r>
          </w:p>
          <w:p>
            <w:pPr>
              <w:pStyle w:val="Normal"/>
              <w:widowControl w:val="false"/>
              <w:spacing w:lineRule="auto" w:line="360"/>
              <w:jc w:val="both"/>
              <w:rPr/>
            </w:pPr>
            <w:r>
              <w:rPr>
                <w:rFonts w:eastAsia="Noto Serif Light" w:cs="Noto Serif Light" w:ascii="Arial" w:hAnsi="Arial"/>
                <w:b/>
                <w:bCs/>
                <w:sz w:val="22"/>
                <w:szCs w:val="22"/>
              </w:rPr>
              <w:t>“</w:t>
            </w:r>
            <w:r>
              <w:rPr>
                <w:rFonts w:eastAsia="Noto Serif Light" w:cs="Noto Serif Light" w:ascii="Arial" w:hAnsi="Arial"/>
                <w:b/>
                <w:bCs/>
                <w:sz w:val="22"/>
                <w:szCs w:val="22"/>
              </w:rPr>
              <w:t>AUTORIZA O PODER EXECUTIVO MUNICIPAL A ABRIR CRÉDITOS SUPLEMENTARES NO ORÇAMENTO DO CORRENTE EXERCÍCIO.”</w:t>
            </w:r>
          </w:p>
        </w:tc>
      </w:tr>
    </w:tbl>
    <w:p>
      <w:pPr>
        <w:pStyle w:val="Normal"/>
        <w:widowControl w:val="false"/>
        <w:spacing w:lineRule="auto" w:line="360"/>
        <w:jc w:val="both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spacing w:lineRule="auto" w:line="360"/>
        <w:ind w:firstLine="709"/>
        <w:jc w:val="both"/>
        <w:rPr/>
      </w:pPr>
      <w:r>
        <w:rPr>
          <w:rFonts w:eastAsia="Noto Serif Light" w:cs="Noto Serif Light" w:ascii="Arial" w:hAnsi="Arial"/>
          <w:b/>
          <w:sz w:val="22"/>
          <w:szCs w:val="22"/>
        </w:rPr>
        <w:t>JERRI ADRIANI MENEGHETTI</w:t>
      </w:r>
      <w:r>
        <w:rPr>
          <w:rFonts w:eastAsia="Noto Serif Light" w:cs="Noto Serif Light" w:ascii="Arial" w:hAnsi="Arial"/>
          <w:sz w:val="22"/>
          <w:szCs w:val="22"/>
        </w:rPr>
        <w:t>, Prefeito Municipal de Dois Irmãos, RS,</w:t>
      </w:r>
      <w:r>
        <w:rPr>
          <w:rFonts w:eastAsia="Noto Serif Light" w:cs="Noto Serif Light" w:ascii="Arial" w:hAnsi="Arial"/>
          <w:b/>
          <w:sz w:val="22"/>
          <w:szCs w:val="22"/>
        </w:rPr>
        <w:t xml:space="preserve"> </w:t>
      </w:r>
      <w:r>
        <w:rPr>
          <w:rFonts w:eastAsia="Noto Serif Light" w:cs="Noto Serif Light" w:ascii="Arial" w:hAnsi="Arial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>
      <w:pPr>
        <w:pStyle w:val="Normal"/>
        <w:tabs>
          <w:tab w:val="clear" w:pos="709"/>
          <w:tab w:val="left" w:pos="2228" w:leader="none"/>
        </w:tabs>
        <w:spacing w:lineRule="auto" w:line="360"/>
        <w:jc w:val="both"/>
        <w:rPr>
          <w:rFonts w:ascii="Arial" w:hAnsi="Arial" w:eastAsia="Noto Serif Light" w:cs="Noto Serif Light"/>
          <w:sz w:val="12"/>
          <w:szCs w:val="12"/>
        </w:rPr>
      </w:pPr>
      <w:r>
        <w:rPr>
          <w:rFonts w:eastAsia="Noto Serif Light" w:cs="Noto Serif Light" w:ascii="Arial" w:hAnsi="Arial"/>
          <w:sz w:val="12"/>
          <w:szCs w:val="12"/>
        </w:rPr>
      </w:r>
    </w:p>
    <w:p>
      <w:pPr>
        <w:pStyle w:val="Normal"/>
        <w:spacing w:lineRule="auto" w:line="360"/>
        <w:jc w:val="both"/>
        <w:rPr/>
      </w:pPr>
      <w:r>
        <w:rPr>
          <w:rFonts w:eastAsia="Noto Serif Light" w:cs="Noto Serif Light" w:ascii="Arial" w:hAnsi="Arial"/>
          <w:sz w:val="22"/>
          <w:szCs w:val="22"/>
        </w:rPr>
        <w:tab/>
        <w:tab/>
        <w:tab/>
        <w:t xml:space="preserve">   </w:t>
        <w:tab/>
        <w:t xml:space="preserve">   </w:t>
        <w:tab/>
        <w:t xml:space="preserve">      </w:t>
      </w:r>
      <w:r>
        <w:rPr>
          <w:rFonts w:eastAsia="Noto Serif Light" w:cs="Noto Serif Light" w:ascii="Arial" w:hAnsi="Arial"/>
          <w:b/>
          <w:bCs/>
          <w:sz w:val="22"/>
          <w:szCs w:val="22"/>
        </w:rPr>
        <w:t xml:space="preserve">  L E I: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b/>
          <w:b/>
          <w:bCs/>
          <w:sz w:val="12"/>
          <w:szCs w:val="12"/>
        </w:rPr>
      </w:pPr>
      <w:r>
        <w:rPr>
          <w:rFonts w:cs="Arial" w:ascii="Arial" w:hAnsi="Arial"/>
          <w:b/>
          <w:bCs/>
          <w:sz w:val="12"/>
          <w:szCs w:val="12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ab/>
        <w:tab/>
      </w:r>
      <w:r>
        <w:rPr>
          <w:rFonts w:cs="Arial" w:ascii="Arial" w:hAnsi="Arial"/>
          <w:b/>
          <w:bCs/>
          <w:sz w:val="22"/>
          <w:szCs w:val="22"/>
        </w:rPr>
        <w:t>Art. 1º</w:t>
      </w:r>
      <w:r>
        <w:rPr>
          <w:rFonts w:cs="Arial" w:ascii="Arial" w:hAnsi="Arial"/>
          <w:sz w:val="22"/>
          <w:szCs w:val="22"/>
        </w:rPr>
        <w:t xml:space="preserve"> Fica o Poder Executivo Municipal autorizado a abrir crédito suplementar no Orçamento do Exercício de 2025, no montante de R$ 22.745,00 (vinte e dois mil, setecentos e quarenta e cinco reais) na seguinte classificação orçamentária: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8"/>
          <w:szCs w:val="8"/>
        </w:rPr>
      </w:pPr>
      <w:r>
        <w:rPr>
          <w:rFonts w:cs="Arial" w:ascii="Arial" w:hAnsi="Arial"/>
          <w:sz w:val="8"/>
          <w:szCs w:val="8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0</w:t>
      </w:r>
      <w:r>
        <w:rPr>
          <w:rFonts w:cs="Arial" w:ascii="Arial" w:hAnsi="Arial"/>
          <w:sz w:val="22"/>
          <w:szCs w:val="22"/>
        </w:rPr>
        <w:t xml:space="preserve">6.002.0015.0452.0018.2025 Departamento de Serviços Urbanos 3.3.3.9.0.30.00.00.00.00 Material de consumo c/305…………..…………….R$ 8.000,00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1500.0001 Recurso Livre – Impostos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0</w:t>
      </w:r>
      <w:r>
        <w:rPr>
          <w:rFonts w:cs="Arial" w:ascii="Arial" w:hAnsi="Arial"/>
          <w:sz w:val="22"/>
          <w:szCs w:val="22"/>
        </w:rPr>
        <w:t xml:space="preserve">6.001.0015.0451.0017.2021 Departamento de Infraestrutura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3.3.3.9.0.30.00.00.00.00 Material de consumo c/282……….…………….….R$ 9.000,00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3.4.4.9.0.52.00.00.00.00 Equipamentos e material permanente c/287..……R$ 5.745,00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1500.0001 Recurso Livre – Impostos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ab/>
        <w:tab/>
        <w:t>Art. 2º</w:t>
      </w:r>
      <w:r>
        <w:rPr>
          <w:rFonts w:cs="Arial" w:ascii="Arial" w:hAnsi="Arial"/>
          <w:sz w:val="22"/>
          <w:szCs w:val="22"/>
        </w:rPr>
        <w:t xml:space="preserve"> Servirá de recurso para a cobertura de que trata o artigo anterior, a redução das seguintes dotações orçamentárias: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06.002.0015.0452.0018.2026 Manutenção dos Serviços de Limpeza Pública 3.3.3.9.0.39.00.00.00.00 Outros serviços de terceiros - </w:t>
      </w:r>
      <w:r>
        <w:rPr>
          <w:rFonts w:cs="Arial" w:ascii="Arial" w:hAnsi="Arial"/>
          <w:sz w:val="22"/>
          <w:szCs w:val="22"/>
        </w:rPr>
        <w:t>PJ</w:t>
      </w:r>
      <w:r>
        <w:rPr>
          <w:rFonts w:cs="Arial" w:ascii="Arial" w:hAnsi="Arial"/>
          <w:sz w:val="22"/>
          <w:szCs w:val="22"/>
        </w:rPr>
        <w:t xml:space="preserve"> c/312……….….R$22.745,00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1500.0001 Recurso Livre – Impostos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ab/>
        <w:tab/>
        <w:t>Art. 3º</w:t>
      </w:r>
      <w:r>
        <w:rPr>
          <w:rFonts w:cs="Arial" w:ascii="Arial" w:hAnsi="Arial"/>
          <w:sz w:val="22"/>
          <w:szCs w:val="22"/>
        </w:rPr>
        <w:t xml:space="preserve"> F</w:t>
      </w:r>
      <w:r>
        <w:rPr>
          <w:rFonts w:cs="Arial" w:ascii="Arial" w:hAnsi="Arial"/>
          <w:sz w:val="22"/>
          <w:szCs w:val="22"/>
        </w:rPr>
        <w:t>i</w:t>
      </w:r>
      <w:r>
        <w:rPr>
          <w:rFonts w:cs="Arial" w:ascii="Arial" w:hAnsi="Arial"/>
          <w:sz w:val="22"/>
          <w:szCs w:val="22"/>
        </w:rPr>
        <w:t xml:space="preserve">ca o Poder Executivo Municipal autorizado a abrir crédito suplementar no Orçamento do Exercício de 2025, no montante de R$35.000,00 (trinta e cinco mil reais) na seguinte classificação orçamentária: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8"/>
          <w:szCs w:val="8"/>
        </w:rPr>
      </w:pPr>
      <w:r>
        <w:rPr>
          <w:rFonts w:cs="Arial" w:ascii="Arial" w:hAnsi="Arial"/>
          <w:sz w:val="8"/>
          <w:szCs w:val="8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03.001.0004.0122.0009.2010 Secretaria de Administração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3.3.3.9.0.39.00.00.00.00 Outros serviços de terceiros - </w:t>
      </w:r>
      <w:r>
        <w:rPr>
          <w:rFonts w:cs="Arial" w:ascii="Arial" w:hAnsi="Arial"/>
          <w:sz w:val="22"/>
          <w:szCs w:val="22"/>
        </w:rPr>
        <w:t>PJ</w:t>
      </w:r>
      <w:r>
        <w:rPr>
          <w:rFonts w:cs="Arial" w:ascii="Arial" w:hAnsi="Arial"/>
          <w:sz w:val="22"/>
          <w:szCs w:val="22"/>
        </w:rPr>
        <w:t xml:space="preserve"> c/130………….R$ 35.000,00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1500.0001 Recurso Livre – Impostos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ab/>
        <w:tab/>
        <w:t>Art. 4º</w:t>
      </w:r>
      <w:r>
        <w:rPr>
          <w:rFonts w:cs="Arial" w:ascii="Arial" w:hAnsi="Arial"/>
          <w:sz w:val="22"/>
          <w:szCs w:val="22"/>
        </w:rPr>
        <w:t xml:space="preserve"> Servirá de recurso para a cobertura de que trata o artigo anterior, a redução das seguintes dotações orçamentárias: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06.002.0015.0452.0018.2026 Manutenção dos Serviços de Limpeza Pública 3.3.3.9.0.39.00.00.00.00 Outros serviços de terceiros - </w:t>
      </w:r>
      <w:r>
        <w:rPr>
          <w:rFonts w:cs="Arial" w:ascii="Arial" w:hAnsi="Arial"/>
          <w:sz w:val="22"/>
          <w:szCs w:val="22"/>
        </w:rPr>
        <w:t>PJ</w:t>
      </w:r>
      <w:r>
        <w:rPr>
          <w:rFonts w:cs="Arial" w:ascii="Arial" w:hAnsi="Arial"/>
          <w:sz w:val="22"/>
          <w:szCs w:val="22"/>
        </w:rPr>
        <w:t xml:space="preserve"> c/312……….….R$35.000,00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1500.0001 Recurso Livre – Impostos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/>
      </w:r>
    </w:p>
    <w:p>
      <w:pPr>
        <w:pStyle w:val="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ab/>
        <w:tab/>
        <w:t xml:space="preserve">Art. </w:t>
      </w:r>
      <w:r>
        <w:rPr>
          <w:rFonts w:cs="Arial" w:ascii="Arial" w:hAnsi="Arial"/>
          <w:b/>
          <w:bCs/>
          <w:sz w:val="22"/>
          <w:szCs w:val="22"/>
        </w:rPr>
        <w:t>5</w:t>
      </w:r>
      <w:r>
        <w:rPr>
          <w:rFonts w:cs="Arial" w:ascii="Arial" w:hAnsi="Arial"/>
          <w:b/>
          <w:bCs/>
          <w:sz w:val="22"/>
          <w:szCs w:val="22"/>
        </w:rPr>
        <w:t>º</w:t>
      </w:r>
      <w:r>
        <w:rPr>
          <w:rFonts w:cs="Arial" w:ascii="Arial" w:hAnsi="Arial"/>
          <w:sz w:val="22"/>
          <w:szCs w:val="22"/>
        </w:rPr>
        <w:t xml:space="preserve"> Fica o Poder Executivo Municipal autorizado a abrir crédito suplementar no Orçamento do Exercício de 2025, no montante de R$ 142.255,00 (cento e quarenta e dois mil, duzentos e cinquenta e cinco reais) na seguinte classificação orçamentária: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8"/>
          <w:szCs w:val="8"/>
        </w:rPr>
      </w:pPr>
      <w:r>
        <w:rPr>
          <w:rFonts w:cs="Arial" w:ascii="Arial" w:hAnsi="Arial"/>
          <w:sz w:val="8"/>
          <w:szCs w:val="8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06.001.0015.0451.0017.2020 Manutenção de Vias e Áreas Públicas 3.3.3.9.0.39.00.00.00.00 Outros serviços de terceiros - </w:t>
      </w:r>
      <w:r>
        <w:rPr>
          <w:rFonts w:cs="Arial" w:ascii="Arial" w:hAnsi="Arial"/>
          <w:sz w:val="22"/>
          <w:szCs w:val="22"/>
        </w:rPr>
        <w:t>PJ</w:t>
      </w:r>
      <w:r>
        <w:rPr>
          <w:rFonts w:cs="Arial" w:ascii="Arial" w:hAnsi="Arial"/>
          <w:sz w:val="22"/>
          <w:szCs w:val="22"/>
        </w:rPr>
        <w:t xml:space="preserve"> c/272………...R$142.255,00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1500.0001 Recurso Livre - Impostos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ab/>
        <w:tab/>
        <w:t xml:space="preserve">Art. </w:t>
      </w:r>
      <w:r>
        <w:rPr>
          <w:rFonts w:cs="Arial" w:ascii="Arial" w:hAnsi="Arial"/>
          <w:b/>
          <w:bCs/>
          <w:sz w:val="22"/>
          <w:szCs w:val="22"/>
        </w:rPr>
        <w:t>6</w:t>
      </w:r>
      <w:r>
        <w:rPr>
          <w:rFonts w:cs="Arial" w:ascii="Arial" w:hAnsi="Arial"/>
          <w:b/>
          <w:bCs/>
          <w:sz w:val="22"/>
          <w:szCs w:val="22"/>
        </w:rPr>
        <w:t>º</w:t>
      </w:r>
      <w:r>
        <w:rPr>
          <w:rFonts w:cs="Arial" w:ascii="Arial" w:hAnsi="Arial"/>
          <w:sz w:val="22"/>
          <w:szCs w:val="22"/>
        </w:rPr>
        <w:t xml:space="preserve"> Servirá de recurso para a cobertura de que trata o artigo anterior, a redução das seguintes dotações orçamentárias: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06.002.0015.0452.0018.2026 Manutenção dos Serviços de Limpeza Pública 3.3.3.9.0.39.00.00.00.00 Outros serviços de terceiros - </w:t>
      </w:r>
      <w:r>
        <w:rPr>
          <w:rFonts w:cs="Arial" w:ascii="Arial" w:hAnsi="Arial"/>
          <w:sz w:val="22"/>
          <w:szCs w:val="22"/>
        </w:rPr>
        <w:t>PJ</w:t>
      </w:r>
      <w:r>
        <w:rPr>
          <w:rFonts w:cs="Arial" w:ascii="Arial" w:hAnsi="Arial"/>
          <w:sz w:val="22"/>
          <w:szCs w:val="22"/>
        </w:rPr>
        <w:t xml:space="preserve"> c/312………...R$142.255,00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1500.0001 Recurso Livre – Impostos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ab/>
        <w:tab/>
        <w:t xml:space="preserve">Art. </w:t>
      </w:r>
      <w:r>
        <w:rPr>
          <w:rFonts w:cs="Arial" w:ascii="Arial" w:hAnsi="Arial"/>
          <w:b/>
          <w:bCs/>
          <w:sz w:val="22"/>
          <w:szCs w:val="22"/>
        </w:rPr>
        <w:t>7</w:t>
      </w:r>
      <w:r>
        <w:rPr>
          <w:rFonts w:cs="Arial" w:ascii="Arial" w:hAnsi="Arial"/>
          <w:b/>
          <w:bCs/>
          <w:sz w:val="22"/>
          <w:szCs w:val="22"/>
        </w:rPr>
        <w:t>º</w:t>
      </w:r>
      <w:r>
        <w:rPr>
          <w:rFonts w:cs="Arial" w:ascii="Arial" w:hAnsi="Arial"/>
          <w:sz w:val="22"/>
          <w:szCs w:val="22"/>
        </w:rPr>
        <w:t xml:space="preserve"> </w:t>
      </w:r>
      <w:r>
        <w:rPr>
          <w:rFonts w:eastAsia="Noto Serif Light" w:cs="Noto Serif Light" w:ascii="Arial" w:hAnsi="Arial"/>
          <w:sz w:val="22"/>
          <w:szCs w:val="22"/>
        </w:rPr>
        <w:t>Esta Lei entra em vigor na data de sua publicação.</w:t>
      </w:r>
    </w:p>
    <w:p>
      <w:pPr>
        <w:pStyle w:val="Normal"/>
        <w:spacing w:lineRule="auto" w:line="360"/>
        <w:ind w:firstLine="709"/>
        <w:jc w:val="both"/>
        <w:rPr>
          <w:rFonts w:ascii="Arial" w:hAnsi="Arial" w:eastAsia="Noto Serif Light" w:cs="Arial"/>
          <w:sz w:val="12"/>
          <w:szCs w:val="12"/>
        </w:rPr>
      </w:pPr>
      <w:r>
        <w:rPr>
          <w:rFonts w:eastAsia="Noto Serif Light" w:cs="Arial" w:ascii="Arial" w:hAnsi="Arial"/>
          <w:sz w:val="12"/>
          <w:szCs w:val="1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  <w:tab/>
      </w:r>
      <w:bookmarkStart w:id="5" w:name="OLE_LINK5"/>
      <w:bookmarkStart w:id="6" w:name="OLE_LINK51"/>
      <w:bookmarkStart w:id="7" w:name="OLE_LINK161"/>
      <w:bookmarkStart w:id="8" w:name="OLE_LINK41"/>
      <w:bookmarkStart w:id="9" w:name="OLE_LINK21"/>
      <w:r>
        <w:rPr>
          <w:rFonts w:eastAsia="Noto Serif Light" w:cs="Noto Serif Light" w:ascii="Arial" w:hAnsi="Arial"/>
          <w:sz w:val="22"/>
          <w:szCs w:val="22"/>
        </w:rPr>
        <w:t xml:space="preserve">GABINETE DO PREFEITO MUNICIPAL DE DOIS IRMÃOS/RS, EM </w:t>
      </w:r>
      <w:r>
        <w:rPr>
          <w:rFonts w:eastAsia="Noto Serif Light" w:cs="Noto Serif Light" w:ascii="Arial" w:hAnsi="Arial"/>
          <w:sz w:val="22"/>
          <w:szCs w:val="22"/>
        </w:rPr>
        <w:t>02</w:t>
      </w:r>
      <w:r>
        <w:rPr>
          <w:rFonts w:eastAsia="Noto Serif Light" w:cs="Noto Serif Light" w:ascii="Arial" w:hAnsi="Arial"/>
          <w:sz w:val="22"/>
          <w:szCs w:val="22"/>
        </w:rPr>
        <w:t xml:space="preserve"> DE </w:t>
      </w:r>
      <w:r>
        <w:rPr>
          <w:rFonts w:eastAsia="Noto Serif Light" w:cs="Noto Serif Light" w:ascii="Arial" w:hAnsi="Arial"/>
          <w:sz w:val="22"/>
          <w:szCs w:val="22"/>
        </w:rPr>
        <w:t>OUTUBRO</w:t>
      </w:r>
      <w:r>
        <w:rPr>
          <w:rFonts w:eastAsia="Noto Serif Light" w:cs="Noto Serif Light" w:ascii="Arial" w:hAnsi="Arial"/>
          <w:sz w:val="22"/>
          <w:szCs w:val="22"/>
        </w:rPr>
        <w:t xml:space="preserve"> DE 2025.</w:t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widowControl w:val="false"/>
        <w:spacing w:lineRule="auto" w:line="360"/>
        <w:jc w:val="right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  <w:t>JERRI ADRIANI MENEGHETTI,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  <w:t>PREFEITO MUNICIPAL.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center"/>
        <w:rPr/>
      </w:pPr>
      <w:r>
        <w:rPr>
          <w:rFonts w:eastAsia="Noto Serif Light" w:cs="Noto Serif Light" w:ascii="Arial" w:hAnsi="Arial"/>
          <w:b/>
          <w:sz w:val="22"/>
          <w:szCs w:val="22"/>
        </w:rPr>
        <w:t>E</w:t>
      </w:r>
      <w:bookmarkStart w:id="10" w:name="OLE_LINK52"/>
      <w:bookmarkStart w:id="11" w:name="OLE_LINK6"/>
      <w:bookmarkStart w:id="12" w:name="OLE_LINK8"/>
      <w:bookmarkStart w:id="13" w:name="OLE_LINK18"/>
      <w:bookmarkStart w:id="14" w:name="OLE_LINK7"/>
      <w:r>
        <w:rPr>
          <w:rFonts w:eastAsia="Noto Serif Light" w:cs="Noto Serif Light" w:ascii="Arial" w:hAnsi="Arial"/>
          <w:b/>
          <w:sz w:val="22"/>
          <w:szCs w:val="22"/>
        </w:rPr>
        <w:t>XPOSIÇÃO DE MOTIVOS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both"/>
        <w:rPr/>
      </w:pPr>
      <w:r>
        <w:rPr>
          <w:rFonts w:eastAsia="Noto Serif Light" w:cs="Noto Serif Light" w:ascii="Arial" w:hAnsi="Arial"/>
          <w:sz w:val="22"/>
          <w:szCs w:val="22"/>
        </w:rPr>
        <w:tab/>
      </w:r>
      <w:r>
        <w:rPr>
          <w:rStyle w:val="Fontepargpadro"/>
          <w:rFonts w:eastAsia="Noto Serif Light" w:cs="Noto Serif Light" w:ascii="Arial" w:hAnsi="Arial"/>
          <w:color w:val="000000"/>
          <w:sz w:val="22"/>
          <w:szCs w:val="22"/>
        </w:rPr>
        <w:t>Encaminhamos o presente Projeto de Lei nº 1</w:t>
      </w:r>
      <w:r>
        <w:rPr>
          <w:rStyle w:val="Fontepargpadro"/>
          <w:rFonts w:eastAsia="Noto Serif Light" w:cs="Noto Serif Light" w:ascii="Arial" w:hAnsi="Arial"/>
          <w:color w:val="000000"/>
          <w:sz w:val="22"/>
          <w:szCs w:val="22"/>
        </w:rPr>
        <w:t>25</w:t>
      </w:r>
      <w:r>
        <w:rPr>
          <w:rStyle w:val="Fontepargpadro"/>
          <w:rFonts w:eastAsia="Noto Serif Light" w:cs="Noto Serif Light" w:ascii="Arial" w:hAnsi="Arial"/>
          <w:color w:val="000000"/>
          <w:sz w:val="22"/>
          <w:szCs w:val="22"/>
        </w:rPr>
        <w:t>/2025 que “</w:t>
      </w:r>
      <w:r>
        <w:rPr>
          <w:rStyle w:val="Fontepargpadro"/>
          <w:rFonts w:eastAsia="Noto Serif Light" w:cs="Noto Serif Light" w:ascii="Arial" w:hAnsi="Arial"/>
          <w:b/>
          <w:bCs/>
          <w:color w:val="000000"/>
          <w:sz w:val="22"/>
          <w:szCs w:val="22"/>
        </w:rPr>
        <w:t>AUTORIZA O PODER EXECUTIVO MUNICIPAL A ABRIR CRÉDITOS SUPLEMENTARES NO ORÇAMENTO DO CORRENTE EXERCÍCIO</w:t>
      </w:r>
      <w:r>
        <w:rPr>
          <w:rStyle w:val="Fontepargpadro"/>
          <w:rFonts w:eastAsia="Noto Serif Light" w:cs="Noto Serif Light" w:ascii="Arial" w:hAnsi="Arial"/>
          <w:color w:val="000000"/>
          <w:sz w:val="22"/>
          <w:szCs w:val="22"/>
        </w:rPr>
        <w:t>” para apreciação e deliberação dos senhores Edis.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color w:val="000000"/>
        </w:rPr>
      </w:pPr>
      <w:r>
        <w:rPr>
          <w:rFonts w:eastAsia="Noto Serif Light" w:cs="Noto Serif Light" w:ascii="Arial" w:hAnsi="Arial"/>
          <w:color w:val="000000"/>
        </w:rPr>
      </w:r>
    </w:p>
    <w:p>
      <w:pPr>
        <w:pStyle w:val="LONormal1"/>
        <w:spacing w:lineRule="auto" w:line="360"/>
        <w:jc w:val="both"/>
        <w:rPr/>
      </w:pPr>
      <w:r>
        <w:rPr>
          <w:rStyle w:val="Fontepargpadro"/>
          <w:rFonts w:eastAsia="Noto Serif Light" w:cs="Arial" w:ascii="Arial" w:hAnsi="Arial"/>
          <w:color w:val="000000"/>
          <w:sz w:val="22"/>
          <w:szCs w:val="22"/>
        </w:rPr>
        <w:tab/>
        <w:t xml:space="preserve">A presente proposição foi apresentada pela Secretaria Municipal da Fazenda, através do Memorando Interno, com vistas a </w:t>
      </w:r>
      <w:r>
        <w:rPr>
          <w:rStyle w:val="Fontepargpadro"/>
          <w:rFonts w:cs="Arial" w:ascii="Arial" w:hAnsi="Arial"/>
          <w:bCs/>
          <w:sz w:val="22"/>
          <w:szCs w:val="22"/>
        </w:rPr>
        <w:t>abertura de créditos suplementares, nas seguintes ações, a saber:</w:t>
      </w:r>
    </w:p>
    <w:p>
      <w:pPr>
        <w:pStyle w:val="LONormal1"/>
        <w:spacing w:lineRule="auto" w:line="360"/>
        <w:jc w:val="both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</w:r>
    </w:p>
    <w:p>
      <w:pPr>
        <w:pStyle w:val="PargrafodaLista"/>
        <w:numPr>
          <w:ilvl w:val="0"/>
          <w:numId w:val="2"/>
        </w:numPr>
        <w:spacing w:lineRule="auto" w:line="360"/>
        <w:jc w:val="both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  <w:t>Abertura de crédito suplementar na Secretaria Municipal De</w:t>
      </w:r>
      <w:r>
        <w:rPr>
          <w:rFonts w:cs="Arial" w:ascii="Arial" w:hAnsi="Arial"/>
          <w:bCs/>
          <w:sz w:val="22"/>
          <w:szCs w:val="22"/>
        </w:rPr>
        <w:t xml:space="preserve"> Infraestrutura</w:t>
      </w:r>
      <w:r>
        <w:rPr>
          <w:rFonts w:cs="Arial" w:ascii="Arial" w:hAnsi="Arial"/>
          <w:bCs/>
          <w:sz w:val="22"/>
          <w:szCs w:val="22"/>
        </w:rPr>
        <w:t>. Justificativa da necessidade de elaboração de Projeto de Lei para abertura do crédito suplementar para aquisições de insumos para manutenções junto ao Departamento de Serviços Urbanos e Infraestrutura e aquisição de móveis (armários) para o setor de Infraestrutura;</w:t>
      </w:r>
    </w:p>
    <w:p>
      <w:pPr>
        <w:pStyle w:val="PargrafodaLista"/>
        <w:spacing w:lineRule="auto" w:line="360"/>
        <w:ind w:left="720" w:hanging="0"/>
        <w:jc w:val="both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</w:r>
    </w:p>
    <w:p>
      <w:pPr>
        <w:pStyle w:val="PargrafodaLista"/>
        <w:numPr>
          <w:ilvl w:val="0"/>
          <w:numId w:val="2"/>
        </w:numPr>
        <w:spacing w:lineRule="auto" w:line="360"/>
        <w:jc w:val="both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  <w:t xml:space="preserve">Abertura de crédito suplementar na Secretária de </w:t>
      </w:r>
      <w:r>
        <w:rPr>
          <w:rFonts w:cs="Arial" w:ascii="Arial" w:hAnsi="Arial"/>
          <w:bCs/>
          <w:sz w:val="22"/>
          <w:szCs w:val="22"/>
        </w:rPr>
        <w:t>Administração</w:t>
      </w:r>
      <w:r>
        <w:rPr>
          <w:rFonts w:cs="Arial" w:ascii="Arial" w:hAnsi="Arial"/>
          <w:bCs/>
          <w:sz w:val="22"/>
          <w:szCs w:val="22"/>
        </w:rPr>
        <w:t xml:space="preserve">. Justificativa da necessidade de elaboração de Projeto de Lei para abertura do crédito suplementar para cobrir despesas com exames admissionais, periódicos, demissionais e perícias médicas junto a servidores e empregados públicos do município; </w:t>
      </w:r>
      <w:r>
        <w:rPr>
          <w:rFonts w:cs="Arial" w:ascii="Arial" w:hAnsi="Arial"/>
          <w:bCs/>
          <w:sz w:val="22"/>
          <w:szCs w:val="22"/>
        </w:rPr>
        <w:t>E</w:t>
      </w:r>
    </w:p>
    <w:p>
      <w:pPr>
        <w:pStyle w:val="PargrafodaLista"/>
        <w:numPr>
          <w:ilvl w:val="0"/>
          <w:numId w:val="0"/>
        </w:numPr>
        <w:spacing w:lineRule="auto" w:line="360"/>
        <w:ind w:left="720" w:hanging="0"/>
        <w:jc w:val="both"/>
        <w:rPr>
          <w:rFonts w:ascii="Arial" w:hAnsi="Arial" w:cs="Arial"/>
          <w:bCs/>
          <w:sz w:val="22"/>
          <w:szCs w:val="22"/>
        </w:rPr>
      </w:pPr>
      <w:r>
        <w:rPr/>
      </w:r>
    </w:p>
    <w:p>
      <w:pPr>
        <w:pStyle w:val="PargrafodaLista"/>
        <w:numPr>
          <w:ilvl w:val="0"/>
          <w:numId w:val="2"/>
        </w:numPr>
        <w:spacing w:lineRule="auto" w:line="360"/>
        <w:jc w:val="both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  <w:t>Abertura de crédito suplementar na Secretaria Municipal De</w:t>
      </w:r>
      <w:r>
        <w:rPr>
          <w:rFonts w:cs="Arial" w:ascii="Arial" w:hAnsi="Arial"/>
          <w:bCs/>
          <w:sz w:val="22"/>
          <w:szCs w:val="22"/>
        </w:rPr>
        <w:t xml:space="preserve"> Infraestrutura</w:t>
      </w:r>
      <w:r>
        <w:rPr>
          <w:rFonts w:cs="Arial" w:ascii="Arial" w:hAnsi="Arial"/>
          <w:bCs/>
          <w:sz w:val="22"/>
          <w:szCs w:val="22"/>
        </w:rPr>
        <w:t xml:space="preserve">. Justificativa da necessidade de elaboração de Projeto de Lei para abertura do crédito suplementar para hora máquina – serviço de caminhões, escavadeiras, retroescavadeiras, entre outras máquinas utilizadas para abertura de ruas, valos e terraplenagem. </w:t>
      </w:r>
    </w:p>
    <w:p>
      <w:pPr>
        <w:pStyle w:val="LONormal1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>
          <w:rStyle w:val="Fontepargpadro"/>
          <w:rFonts w:eastAsia="Noto Serif Light" w:cs="Arial" w:ascii="Arial" w:hAnsi="Arial"/>
          <w:b/>
          <w:bCs/>
          <w:color w:val="000000"/>
          <w:sz w:val="22"/>
          <w:szCs w:val="22"/>
        </w:rPr>
        <w:tab/>
      </w:r>
      <w:r>
        <w:rPr>
          <w:rStyle w:val="Fontepargpadro"/>
          <w:rFonts w:eastAsia="Noto Serif Light" w:cs="Arial" w:ascii="Arial" w:hAnsi="Arial"/>
          <w:b w:val="false"/>
          <w:bCs w:val="false"/>
          <w:color w:val="auto"/>
          <w:sz w:val="22"/>
          <w:szCs w:val="22"/>
        </w:rPr>
        <w:t>Aproveitamos o ensejo para renovar protestos de elevado apreço e consideração.</w:t>
      </w:r>
    </w:p>
    <w:p>
      <w:pPr>
        <w:pStyle w:val="Normal"/>
        <w:spacing w:lineRule="auto" w:line="360"/>
        <w:jc w:val="both"/>
        <w:rPr>
          <w:rFonts w:ascii="Arial" w:hAnsi="Arial" w:eastAsia="Noto Serif Light" w:cs="Arial"/>
          <w:b/>
          <w:b/>
          <w:bCs/>
          <w:sz w:val="22"/>
          <w:szCs w:val="22"/>
        </w:rPr>
      </w:pPr>
      <w:r>
        <w:rPr>
          <w:rFonts w:eastAsia="Noto Serif Light" w:cs="Arial" w:ascii="Arial" w:hAnsi="Arial"/>
          <w:b/>
          <w:bCs/>
          <w:sz w:val="22"/>
          <w:szCs w:val="22"/>
        </w:rPr>
      </w:r>
    </w:p>
    <w:p>
      <w:pPr>
        <w:pStyle w:val="Normal"/>
        <w:spacing w:lineRule="auto" w:line="36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widowControl w:val="false"/>
        <w:spacing w:lineRule="auto" w:line="360"/>
        <w:jc w:val="right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  <w:t>JERRI ADRIANI MENEGHETTI,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  <w:t>PREFEITO MUNICIPAL.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widowControl w:val="false"/>
        <w:spacing w:lineRule="auto" w:line="360"/>
        <w:ind w:firstLine="1701"/>
        <w:jc w:val="both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1134" w:gutter="0" w:header="720" w:top="1985" w:footer="72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Consolas">
    <w:charset w:val="00"/>
    <w:family w:val="roman"/>
    <w:pitch w:val="variable"/>
  </w:font>
  <w:font w:name="Arial">
    <w:charset w:val="00"/>
    <w:family w:val="roman"/>
    <w:pitch w:val="variable"/>
  </w:font>
  <w:font w:name="Noto Serif">
    <w:charset w:val="00"/>
    <w:family w:val="roman"/>
    <w:pitch w:val="variable"/>
  </w:font>
  <w:font w:name="Courier New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Liberation Mono">
    <w:altName w:val="Courier New"/>
    <w:charset w:val="00"/>
    <w:family w:val="roman"/>
    <w:pitch w:val="variable"/>
  </w:font>
  <w:font w:name="Century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tabs>
        <w:tab w:val="clear" w:pos="4819"/>
        <w:tab w:val="clear" w:pos="9638"/>
        <w:tab w:val="right" w:pos="9584" w:leader="none"/>
      </w:tabs>
      <w:jc w:val="center"/>
      <w:rPr>
        <w:rFonts w:ascii="Century" w:hAnsi="Century"/>
        <w:b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</w:t>
    </w:r>
    <w:r>
      <w:rPr>
        <w:rFonts w:ascii="Century" w:hAnsi="Century"/>
        <w:b/>
        <w:bCs/>
        <w:sz w:val="20"/>
        <w:szCs w:val="20"/>
      </w:rPr>
      <w:t>DOE SANGUE, DOE ÓRGÃOS, SALVE UMA VIDA.”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jc w:val="center"/>
      <w:rPr/>
    </w:pPr>
    <w:r>
      <w:drawing>
        <wp:anchor behindDoc="0" distT="0" distB="0" distL="0" distR="0" simplePos="0" locked="0" layoutInCell="0" allowOverlap="1" relativeHeight="4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0" distT="0" distB="0" distL="0" distR="0" simplePos="0" locked="0" layoutInCell="0" allowOverlap="1" relativeHeight="7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>
    <w:pPr>
      <w:pStyle w:val="Cabealho"/>
      <w:jc w:val="center"/>
      <w:rPr>
        <w:rFonts w:ascii="Century" w:hAnsi="Century"/>
        <w:b/>
        <w:b/>
        <w:bCs/>
      </w:rPr>
    </w:pPr>
    <w:r>
      <w:rPr>
        <w:rFonts w:ascii="Century" w:hAnsi="Century"/>
        <w:b/>
        <w:bCs/>
      </w:rPr>
      <w:t>MUNICÍPIO DE DOIS IRMÃOS</w:t>
    </w:r>
  </w:p>
  <w:p>
    <w:pPr>
      <w:pStyle w:val="Cabealho"/>
      <w:jc w:val="center"/>
      <w:rPr>
        <w:rFonts w:ascii="Century" w:hAnsi="Century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kern w:val="2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false"/>
      <w:overflowPunct w:val="true"/>
      <w:bidi w:val="0"/>
      <w:spacing w:before="0" w:after="0"/>
      <w:jc w:val="left"/>
    </w:pPr>
    <w:rPr>
      <w:rFonts w:ascii="Liberation Serif" w:hAnsi="Liberation Serif" w:eastAsia="SimSun" w:cs="Mangal"/>
      <w:color w:val="000000"/>
      <w:kern w:val="2"/>
      <w:sz w:val="24"/>
      <w:szCs w:val="24"/>
      <w:lang w:val="pt-BR" w:eastAsia="zh-CN" w:bidi="hi-IN"/>
    </w:rPr>
  </w:style>
  <w:style w:type="paragraph" w:styleId="Ttulo1">
    <w:name w:val="Heading 1"/>
    <w:basedOn w:val="Ttulododocumento"/>
    <w:uiPriority w:val="9"/>
    <w:qFormat/>
    <w:pPr>
      <w:numPr>
        <w:ilvl w:val="0"/>
        <w:numId w:val="1"/>
      </w:numPr>
      <w:outlineLvl w:val="0"/>
    </w:pPr>
    <w:rPr/>
  </w:style>
  <w:style w:type="paragraph" w:styleId="Ttulo2">
    <w:name w:val="Heading 2"/>
    <w:basedOn w:val="Ttulododocumento"/>
    <w:uiPriority w:val="9"/>
    <w:semiHidden/>
    <w:unhideWhenUsed/>
    <w:qFormat/>
    <w:pPr>
      <w:numPr>
        <w:ilvl w:val="1"/>
        <w:numId w:val="1"/>
      </w:numPr>
      <w:outlineLvl w:val="1"/>
    </w:pPr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epargpadro1" w:customStyle="1">
    <w:name w:val="Fonte parág. padrão1"/>
    <w:qFormat/>
    <w:rPr/>
  </w:style>
  <w:style w:type="character" w:styleId="LinkdaInternet" w:customStyle="1">
    <w:name w:val="Link da Internet"/>
    <w:basedOn w:val="Fontepargpadro1"/>
    <w:rPr>
      <w:color w:val="000080"/>
      <w:u w:val="single"/>
    </w:rPr>
  </w:style>
  <w:style w:type="character" w:styleId="Marcadores" w:customStyle="1">
    <w:name w:val="Marcadores"/>
    <w:qFormat/>
    <w:rPr>
      <w:rFonts w:ascii="OpenSymbol" w:hAnsi="OpenSymbol" w:eastAsia="OpenSymbol" w:cs="OpenSymbol"/>
    </w:rPr>
  </w:style>
  <w:style w:type="character" w:styleId="Smbolosdenumerao" w:customStyle="1">
    <w:name w:val="Símbolos de numeração"/>
    <w:qFormat/>
    <w:rPr/>
  </w:style>
  <w:style w:type="character" w:styleId="Nfaseforte" w:customStyle="1">
    <w:name w:val="Ênfase forte"/>
    <w:qFormat/>
    <w:rPr>
      <w:b/>
      <w:bCs/>
    </w:rPr>
  </w:style>
  <w:style w:type="character" w:styleId="Nfase">
    <w:name w:val="Ênfase"/>
    <w:qFormat/>
    <w:rPr>
      <w:i/>
      <w:iCs/>
    </w:rPr>
  </w:style>
  <w:style w:type="character" w:styleId="TextosemFormataoChar" w:customStyle="1">
    <w:name w:val="Texto sem Formatação Char"/>
    <w:qFormat/>
    <w:rPr>
      <w:rFonts w:ascii="Consolas" w:hAnsi="Consolas" w:eastAsia="Times New Roman" w:cs="Consolas"/>
      <w:sz w:val="21"/>
      <w:szCs w:val="21"/>
    </w:rPr>
  </w:style>
  <w:style w:type="character" w:styleId="Ttulo2Char" w:customStyle="1">
    <w:name w:val="Título 2 Char"/>
    <w:qFormat/>
    <w:rPr>
      <w:rFonts w:ascii="Times New Roman" w:hAnsi="Times New Roman" w:eastAsia="Times New Roman" w:cs="Times New Roman"/>
      <w:b/>
      <w:bCs/>
      <w:sz w:val="36"/>
      <w:szCs w:val="36"/>
    </w:rPr>
  </w:style>
  <w:style w:type="character" w:styleId="RecuodecorpodetextoChar" w:customStyle="1">
    <w:name w:val="Recuo de corpo de texto Char"/>
    <w:qFormat/>
    <w:rPr>
      <w:rFonts w:ascii="Arial" w:hAnsi="Arial" w:eastAsia="Times New Roman" w:cs="Arial"/>
      <w:sz w:val="20"/>
      <w:szCs w:val="20"/>
    </w:rPr>
  </w:style>
  <w:style w:type="character" w:styleId="Corpodetexto2Char" w:customStyle="1">
    <w:name w:val="Corpo de texto 2 Char"/>
    <w:qFormat/>
    <w:rPr>
      <w:rFonts w:ascii="Times New Roman" w:hAnsi="Times New Roman" w:eastAsia="Times New Roman" w:cs="Times New Roman"/>
      <w:sz w:val="20"/>
      <w:szCs w:val="20"/>
    </w:rPr>
  </w:style>
  <w:style w:type="character" w:styleId="TextodenotaderodapChar" w:customStyle="1">
    <w:name w:val="Texto de nota de rodapé Char"/>
    <w:qFormat/>
    <w:rPr>
      <w:rFonts w:ascii="Times New Roman" w:hAnsi="Times New Roman" w:eastAsia="Times New Roman" w:cs="Times New Roman"/>
      <w:sz w:val="20"/>
      <w:szCs w:val="20"/>
    </w:rPr>
  </w:style>
  <w:style w:type="character" w:styleId="WW8Num1z8" w:customStyle="1">
    <w:name w:val="WW8Num1z8"/>
    <w:qFormat/>
    <w:rPr/>
  </w:style>
  <w:style w:type="character" w:styleId="WW8Num1z7" w:customStyle="1">
    <w:name w:val="WW8Num1z7"/>
    <w:qFormat/>
    <w:rPr/>
  </w:style>
  <w:style w:type="character" w:styleId="WW8Num1z6" w:customStyle="1">
    <w:name w:val="WW8Num1z6"/>
    <w:qFormat/>
    <w:rPr/>
  </w:style>
  <w:style w:type="character" w:styleId="WW8Num1z5" w:customStyle="1">
    <w:name w:val="WW8Num1z5"/>
    <w:qFormat/>
    <w:rPr/>
  </w:style>
  <w:style w:type="character" w:styleId="WW8Num1z4" w:customStyle="1">
    <w:name w:val="WW8Num1z4"/>
    <w:qFormat/>
    <w:rPr/>
  </w:style>
  <w:style w:type="character" w:styleId="WW8Num1z3" w:customStyle="1">
    <w:name w:val="WW8Num1z3"/>
    <w:qFormat/>
    <w:rPr/>
  </w:style>
  <w:style w:type="character" w:styleId="WW8Num1z2" w:customStyle="1">
    <w:name w:val="WW8Num1z2"/>
    <w:qFormat/>
    <w:rPr/>
  </w:style>
  <w:style w:type="character" w:styleId="WW8Num1z1" w:customStyle="1">
    <w:name w:val="WW8Num1z1"/>
    <w:qFormat/>
    <w:rPr/>
  </w:style>
  <w:style w:type="character" w:styleId="WW8Num1z0" w:customStyle="1">
    <w:name w:val="WW8Num1z0"/>
    <w:qFormat/>
    <w:rPr/>
  </w:style>
  <w:style w:type="character" w:styleId="WW8Num2z0" w:customStyle="1">
    <w:name w:val="WW8Num2z0"/>
    <w:qFormat/>
    <w:rPr>
      <w:rFonts w:ascii="Noto Serif" w:hAnsi="Noto Serif" w:eastAsia="Noto Serif" w:cs="Noto Serif"/>
      <w:b w:val="false"/>
      <w:bCs w:val="false"/>
      <w:sz w:val="22"/>
      <w:szCs w:val="22"/>
    </w:rPr>
  </w:style>
  <w:style w:type="character" w:styleId="WW8Num2z1" w:customStyle="1">
    <w:name w:val="WW8Num2z1"/>
    <w:qFormat/>
    <w:rPr/>
  </w:style>
  <w:style w:type="character" w:styleId="WW8Num2z2" w:customStyle="1">
    <w:name w:val="WW8Num2z2"/>
    <w:qFormat/>
    <w:rPr/>
  </w:style>
  <w:style w:type="character" w:styleId="WW8Num2z3" w:customStyle="1">
    <w:name w:val="WW8Num2z3"/>
    <w:qFormat/>
    <w:rPr/>
  </w:style>
  <w:style w:type="character" w:styleId="WW8Num2z4" w:customStyle="1">
    <w:name w:val="WW8Num2z4"/>
    <w:qFormat/>
    <w:rPr/>
  </w:style>
  <w:style w:type="character" w:styleId="WW8Num2z5" w:customStyle="1">
    <w:name w:val="WW8Num2z5"/>
    <w:qFormat/>
    <w:rPr/>
  </w:style>
  <w:style w:type="character" w:styleId="WW8Num2z6" w:customStyle="1">
    <w:name w:val="WW8Num2z6"/>
    <w:qFormat/>
    <w:rPr/>
  </w:style>
  <w:style w:type="character" w:styleId="WW8Num2z7" w:customStyle="1">
    <w:name w:val="WW8Num2z7"/>
    <w:qFormat/>
    <w:rPr/>
  </w:style>
  <w:style w:type="character" w:styleId="WW8Num2z8" w:customStyle="1">
    <w:name w:val="WW8Num2z8"/>
    <w:qFormat/>
    <w:rPr/>
  </w:style>
  <w:style w:type="character" w:styleId="WW8Num3z0" w:customStyle="1">
    <w:name w:val="WW8Num3z0"/>
    <w:qFormat/>
    <w:rPr/>
  </w:style>
  <w:style w:type="character" w:styleId="WW8Num3z1" w:customStyle="1">
    <w:name w:val="WW8Num3z1"/>
    <w:qFormat/>
    <w:rPr/>
  </w:style>
  <w:style w:type="character" w:styleId="WW8Num3z2" w:customStyle="1">
    <w:name w:val="WW8Num3z2"/>
    <w:qFormat/>
    <w:rPr/>
  </w:style>
  <w:style w:type="character" w:styleId="WW8Num3z3" w:customStyle="1">
    <w:name w:val="WW8Num3z3"/>
    <w:qFormat/>
    <w:rPr/>
  </w:style>
  <w:style w:type="character" w:styleId="WW8Num3z4" w:customStyle="1">
    <w:name w:val="WW8Num3z4"/>
    <w:qFormat/>
    <w:rPr/>
  </w:style>
  <w:style w:type="character" w:styleId="WW8Num3z5" w:customStyle="1">
    <w:name w:val="WW8Num3z5"/>
    <w:qFormat/>
    <w:rPr/>
  </w:style>
  <w:style w:type="character" w:styleId="WW8Num3z6" w:customStyle="1">
    <w:name w:val="WW8Num3z6"/>
    <w:qFormat/>
    <w:rPr/>
  </w:style>
  <w:style w:type="character" w:styleId="WW8Num3z7" w:customStyle="1">
    <w:name w:val="WW8Num3z7"/>
    <w:qFormat/>
    <w:rPr/>
  </w:style>
  <w:style w:type="character" w:styleId="WW8Num3z8" w:customStyle="1">
    <w:name w:val="WW8Num3z8"/>
    <w:qFormat/>
    <w:rPr/>
  </w:style>
  <w:style w:type="character" w:styleId="WW8Num4z1" w:customStyle="1">
    <w:name w:val="WW8Num4z1"/>
    <w:qFormat/>
    <w:rPr>
      <w:rFonts w:ascii="Courier New" w:hAnsi="Courier New" w:eastAsia="Courier New" w:cs="Courier New"/>
      <w:sz w:val="20"/>
    </w:rPr>
  </w:style>
  <w:style w:type="character" w:styleId="WW8Num5z1" w:customStyle="1">
    <w:name w:val="WW8Num5z1"/>
    <w:qFormat/>
    <w:rPr>
      <w:rFonts w:ascii="Courier New" w:hAnsi="Courier New" w:eastAsia="Courier New" w:cs="Courier New"/>
      <w:sz w:val="20"/>
    </w:rPr>
  </w:style>
  <w:style w:type="character" w:styleId="WW8Num6z1" w:customStyle="1">
    <w:name w:val="WW8Num6z1"/>
    <w:qFormat/>
    <w:rPr>
      <w:rFonts w:ascii="Courier New" w:hAnsi="Courier New" w:eastAsia="Courier New" w:cs="Courier New"/>
      <w:sz w:val="20"/>
    </w:rPr>
  </w:style>
  <w:style w:type="character" w:styleId="WW8Num7z1" w:customStyle="1">
    <w:name w:val="WW8Num7z1"/>
    <w:qFormat/>
    <w:rPr>
      <w:rFonts w:ascii="Courier New" w:hAnsi="Courier New" w:eastAsia="Courier New" w:cs="Courier New"/>
      <w:sz w:val="20"/>
    </w:rPr>
  </w:style>
  <w:style w:type="character" w:styleId="WW8Num8z1" w:customStyle="1">
    <w:name w:val="WW8Num8z1"/>
    <w:qFormat/>
    <w:rPr>
      <w:rFonts w:ascii="Courier New" w:hAnsi="Courier New" w:eastAsia="Courier New" w:cs="Courier New"/>
      <w:sz w:val="20"/>
    </w:rPr>
  </w:style>
  <w:style w:type="character" w:styleId="CorpodetextoChar" w:customStyle="1">
    <w:name w:val="Corpo de texto Char"/>
    <w:qFormat/>
    <w:rPr>
      <w:rFonts w:ascii="Times New Roman" w:hAnsi="Times New Roman" w:eastAsia="Times New Roman" w:cs="Times New Roman"/>
      <w:szCs w:val="20"/>
    </w:rPr>
  </w:style>
  <w:style w:type="character" w:styleId="RecuodecorpodetextoChar1" w:customStyle="1">
    <w:name w:val="Recuo de corpo de texto Char1"/>
    <w:basedOn w:val="DefaultParagraphFont"/>
    <w:qFormat/>
    <w:rPr>
      <w:rFonts w:ascii="Times New Roman" w:hAnsi="Times New Roman" w:eastAsia="Times New Roman" w:cs="Times New Roman"/>
      <w:kern w:val="0"/>
      <w:lang w:bidi="ar-SA"/>
    </w:rPr>
  </w:style>
  <w:style w:type="character" w:styleId="Fontepargpadro">
    <w:name w:val="Fonte parág. padrão"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before="0" w:after="283"/>
    </w:pPr>
    <w:rPr/>
  </w:style>
  <w:style w:type="paragraph" w:styleId="Lista">
    <w:name w:val="List"/>
    <w:basedOn w:val="Corpodotexto"/>
    <w:pPr/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/>
  </w:style>
  <w:style w:type="paragraph" w:styleId="Ttulododocumento">
    <w:name w:val="Title"/>
    <w:basedOn w:val="Normal"/>
    <w:next w:val="Corpodotexto"/>
    <w:uiPriority w:val="10"/>
    <w:qFormat/>
    <w:pPr>
      <w:keepNext w:val="true"/>
      <w:spacing w:before="240" w:after="120"/>
    </w:pPr>
    <w:rPr>
      <w:rFonts w:ascii="Liberation Sans" w:hAnsi="Liberation Sans" w:eastAsia="Microsoft YaHei" w:cs="Liberation Sans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LONormal" w:customStyle="1">
    <w:name w:val="LO-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SimSun" w:cs="Mangal"/>
      <w:color w:val="000000"/>
      <w:kern w:val="2"/>
      <w:sz w:val="24"/>
      <w:szCs w:val="24"/>
      <w:lang w:val="pt-BR" w:eastAsia="zh-CN" w:bidi="hi-IN"/>
    </w:rPr>
  </w:style>
  <w:style w:type="paragraph" w:styleId="Contedodatabela" w:customStyle="1">
    <w:name w:val="Conteúdo da tabela"/>
    <w:basedOn w:val="Normal"/>
    <w:qFormat/>
    <w:pPr>
      <w:suppressLineNumbers/>
    </w:pPr>
    <w:rPr/>
  </w:style>
  <w:style w:type="paragraph" w:styleId="CabealhoeRodap" w:customStyle="1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">
    <w:name w:val="Head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Rodap">
    <w:name w:val="Foot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Ttulodetabela" w:customStyle="1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lineRule="atLeast" w:line="100" w:before="100" w:after="119"/>
    </w:pPr>
    <w:rPr>
      <w:rFonts w:eastAsia="Times New Roman" w:cs="Times New Roman"/>
    </w:rPr>
  </w:style>
  <w:style w:type="paragraph" w:styleId="Western" w:customStyle="1">
    <w:name w:val="western"/>
    <w:basedOn w:val="Normal"/>
    <w:qFormat/>
    <w:pPr>
      <w:spacing w:before="280" w:after="280"/>
    </w:pPr>
    <w:rPr/>
  </w:style>
  <w:style w:type="paragraph" w:styleId="Padro" w:customStyle="1">
    <w:name w:val="Padrão"/>
    <w:qFormat/>
    <w:pPr>
      <w:widowControl w:val="false"/>
      <w:tabs>
        <w:tab w:val="left" w:pos="709" w:leader="none"/>
      </w:tabs>
      <w:suppressAutoHyphens w:val="true"/>
      <w:overflowPunct w:val="true"/>
      <w:bidi w:val="0"/>
      <w:spacing w:lineRule="atLeast" w:line="100" w:before="0" w:after="0"/>
      <w:jc w:val="left"/>
    </w:pPr>
    <w:rPr>
      <w:rFonts w:ascii="Times New Roman" w:hAnsi="Times New Roman" w:eastAsia="Lucida Sans Unicode" w:cs="Times New Roman"/>
      <w:color w:val="00000A"/>
      <w:kern w:val="2"/>
      <w:sz w:val="24"/>
      <w:szCs w:val="24"/>
      <w:lang w:val="pt-BR" w:eastAsia="hi-IN" w:bidi="pt-BR"/>
    </w:rPr>
  </w:style>
  <w:style w:type="paragraph" w:styleId="Textoprformatado" w:customStyle="1">
    <w:name w:val="Texto préformatado"/>
    <w:basedOn w:val="Normal"/>
    <w:qFormat/>
    <w:pPr/>
    <w:rPr>
      <w:rFonts w:ascii="Liberation Mono" w:hAnsi="Liberation Mono" w:eastAsia="NSimSun" w:cs="Liberation Mono"/>
      <w:sz w:val="20"/>
      <w:szCs w:val="20"/>
    </w:rPr>
  </w:style>
  <w:style w:type="paragraph" w:styleId="Corpodotextorecuado">
    <w:name w:val="Body Text Indent"/>
    <w:basedOn w:val="LONormal"/>
    <w:qFormat/>
    <w:pPr>
      <w:spacing w:before="0" w:after="120"/>
      <w:ind w:left="283" w:hanging="0"/>
    </w:pPr>
    <w:rPr>
      <w:rFonts w:ascii="Times New Roman" w:hAnsi="Times New Roman" w:eastAsia="Times New Roman" w:cs="Times New Roman"/>
      <w:kern w:val="0"/>
      <w:lang w:bidi="ar-SA"/>
    </w:rPr>
  </w:style>
  <w:style w:type="paragraph" w:styleId="PlainText">
    <w:name w:val="Plain Text"/>
    <w:basedOn w:val="Normal"/>
    <w:qFormat/>
    <w:pPr/>
    <w:rPr>
      <w:rFonts w:ascii="Consolas" w:hAnsi="Consolas" w:eastAsia="Times New Roman" w:cs="Consolas"/>
      <w:sz w:val="21"/>
      <w:szCs w:val="21"/>
      <w:lang w:eastAsia="ar-SA"/>
    </w:rPr>
  </w:style>
  <w:style w:type="paragraph" w:styleId="BodyText2">
    <w:name w:val="Body Text 2"/>
    <w:basedOn w:val="Normal"/>
    <w:qFormat/>
    <w:pPr>
      <w:spacing w:lineRule="auto" w:line="480" w:before="0" w:after="120"/>
    </w:pPr>
    <w:rPr>
      <w:rFonts w:ascii="Times New Roman" w:hAnsi="Times New Roman" w:eastAsia="Times New Roman" w:cs="Times New Roman"/>
      <w:lang w:eastAsia="ar-SA"/>
    </w:rPr>
  </w:style>
  <w:style w:type="paragraph" w:styleId="Standard" w:customStyle="1">
    <w:name w:val="Standard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Liberation Serif" w:cs="Liberation Serif"/>
      <w:color w:val="000000"/>
      <w:kern w:val="2"/>
      <w:sz w:val="24"/>
      <w:szCs w:val="24"/>
      <w:lang w:val="pt-BR" w:eastAsia="hi-IN" w:bidi="hi-IN"/>
    </w:rPr>
  </w:style>
  <w:style w:type="paragraph" w:styleId="ListParagraph">
    <w:name w:val="List Paragraph"/>
    <w:basedOn w:val="Normal"/>
    <w:qFormat/>
    <w:pPr>
      <w:ind w:left="708" w:hanging="0"/>
    </w:pPr>
    <w:rPr/>
  </w:style>
  <w:style w:type="paragraph" w:styleId="LONormal1">
    <w:name w:val="LO-Normal1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SimSun" w:cs="Mangal"/>
      <w:color w:val="auto"/>
      <w:kern w:val="2"/>
      <w:sz w:val="24"/>
      <w:szCs w:val="24"/>
      <w:lang w:val="pt-BR" w:eastAsia="zh-CN" w:bidi="hi-IN"/>
    </w:rPr>
  </w:style>
  <w:style w:type="paragraph" w:styleId="PargrafodaLista">
    <w:name w:val="Parágrafo da Lista"/>
    <w:basedOn w:val="Normal"/>
    <w:qFormat/>
    <w:pPr>
      <w:tabs>
        <w:tab w:val="clear" w:pos="709"/>
      </w:tabs>
      <w:suppressAutoHyphens w:val="false"/>
      <w:ind w:left="708" w:hanging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522</TotalTime>
  <Application>LibreOffice/7.3.7.2$Windows_X86_64 LibreOffice_project/e114eadc50a9ff8d8c8a0567d6da8f454beeb84f</Application>
  <AppVersion>15.0000</AppVersion>
  <Pages>3</Pages>
  <Words>630</Words>
  <Characters>4094</Characters>
  <CharactersWithSpaces>4739</CharactersWithSpaces>
  <Paragraphs>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2023-09-15T11:30:00Z</dcterms:created>
  <dc:creator/>
  <dc:description/>
  <dc:language>pt-BR</dc:language>
  <cp:lastModifiedBy/>
  <cp:lastPrinted>2025-09-25T11:57:26Z</cp:lastPrinted>
  <dcterms:modified xsi:type="dcterms:W3CDTF">2025-10-02T11:18:17Z</dcterms:modified>
  <cp:revision>69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