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6810" w14:textId="77777777" w:rsidR="00473CE3" w:rsidRDefault="0085330E">
      <w:pPr>
        <w:pStyle w:val="Ttulo"/>
        <w:spacing w:after="240" w:line="360" w:lineRule="auto"/>
        <w:jc w:val="center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PROJETO DE LEI Nº 78</w:t>
      </w:r>
      <w:bookmarkStart w:id="0" w:name="OLE_LINK4"/>
      <w:bookmarkStart w:id="1" w:name="OLE_LINK31"/>
      <w:bookmarkStart w:id="2" w:name="OLE_LINK11"/>
      <w:bookmarkStart w:id="3" w:name="OLE_LINK16"/>
      <w:bookmarkStart w:id="4" w:name="OLE_LINK3"/>
      <w:r>
        <w:rPr>
          <w:rFonts w:ascii="Arial" w:eastAsia="Noto Serif Light" w:hAnsi="Arial" w:cs="Noto Serif Light"/>
          <w:b/>
          <w:bCs/>
          <w:sz w:val="22"/>
          <w:szCs w:val="22"/>
        </w:rPr>
        <w:t>/2026</w:t>
      </w:r>
    </w:p>
    <w:tbl>
      <w:tblPr>
        <w:tblW w:w="6157" w:type="dxa"/>
        <w:tblInd w:w="31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7"/>
      </w:tblGrid>
      <w:tr w:rsidR="00473CE3" w14:paraId="07A41FED" w14:textId="77777777">
        <w:trPr>
          <w:trHeight w:val="829"/>
        </w:trPr>
        <w:tc>
          <w:tcPr>
            <w:tcW w:w="6157" w:type="dxa"/>
          </w:tcPr>
          <w:p w14:paraId="4CD0F718" w14:textId="3D800445" w:rsidR="00473CE3" w:rsidRDefault="0085330E">
            <w:pPr>
              <w:widowControl w:val="0"/>
              <w:spacing w:before="240" w:after="240" w:line="360" w:lineRule="auto"/>
              <w:jc w:val="both"/>
              <w:rPr>
                <w:rFonts w:hint="eastAsia"/>
              </w:rPr>
            </w:pPr>
            <w:r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>“</w:t>
            </w:r>
            <w:r w:rsidR="00D7600B"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>MODIFICA</w:t>
            </w:r>
            <w:r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 xml:space="preserve"> O ART. 38 DA LEI MUNICIPAL Nº 3.707, DE 27 DE NOVEMBRO DE 2013, </w:t>
            </w:r>
            <w:r w:rsidR="00D7600B"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 xml:space="preserve">LEI </w:t>
            </w:r>
            <w:r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>QUE DISPÕE SOBRE A POLÍTICA MUNICIPAL DE PROTEÇÃO AOS DIREITOS DA CRIANÇA E DO ADOLESCENTE NO MUNICÍPIO DE DOIS IRMÃOS, RS, E DÁ OUTRAS PROVIDÊNCIAS.”</w:t>
            </w:r>
          </w:p>
        </w:tc>
      </w:tr>
    </w:tbl>
    <w:p w14:paraId="3E697029" w14:textId="77777777" w:rsidR="00473CE3" w:rsidRDefault="0085330E">
      <w:pPr>
        <w:spacing w:before="240" w:after="240" w:line="360" w:lineRule="auto"/>
        <w:jc w:val="both"/>
        <w:rPr>
          <w:rFonts w:hint="eastAsia"/>
        </w:rPr>
      </w:pPr>
      <w:r>
        <w:rPr>
          <w:rFonts w:ascii="Arial" w:eastAsia="Noto Serif Light" w:hAnsi="Arial" w:cs="Noto Serif Light"/>
          <w:b/>
          <w:sz w:val="22"/>
          <w:szCs w:val="22"/>
        </w:rPr>
        <w:tab/>
        <w:t>JERRI ADRIANI MENEGHETTI</w:t>
      </w:r>
      <w:r>
        <w:rPr>
          <w:rFonts w:ascii="Arial" w:eastAsia="Noto Serif Light" w:hAnsi="Arial" w:cs="Noto Serif Light"/>
          <w:sz w:val="22"/>
          <w:szCs w:val="22"/>
        </w:rPr>
        <w:t>, Prefeito Municipal de Dois Irmãos, RS,</w:t>
      </w:r>
      <w:r>
        <w:rPr>
          <w:rFonts w:ascii="Arial" w:eastAsia="Noto Serif Light" w:hAnsi="Arial" w:cs="Noto Serif Light"/>
          <w:b/>
          <w:sz w:val="22"/>
          <w:szCs w:val="22"/>
        </w:rPr>
        <w:t xml:space="preserve"> </w:t>
      </w:r>
      <w:r>
        <w:rPr>
          <w:rFonts w:ascii="Arial" w:eastAsia="Noto Serif Light" w:hAnsi="Arial" w:cs="Noto Serif Light"/>
          <w:sz w:val="22"/>
          <w:szCs w:val="22"/>
        </w:rPr>
        <w:t>no uso das atribuições que me são conferidas por Lei Orgânica do Município, faço saber que a Câmara Municipal aprova e eu sanciono a seguinte:</w:t>
      </w:r>
    </w:p>
    <w:p w14:paraId="6E009D0C" w14:textId="77777777" w:rsidR="00473CE3" w:rsidRDefault="0085330E">
      <w:pPr>
        <w:spacing w:before="240" w:after="240" w:line="360" w:lineRule="auto"/>
        <w:jc w:val="both"/>
        <w:rPr>
          <w:rFonts w:hint="eastAsia"/>
        </w:rPr>
      </w:pP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</w:t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</w:t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   </w:t>
      </w:r>
      <w:r>
        <w:rPr>
          <w:rFonts w:ascii="Arial" w:eastAsia="Noto Serif Light" w:hAnsi="Arial" w:cs="Noto Serif Light"/>
          <w:b/>
          <w:bCs/>
          <w:sz w:val="22"/>
          <w:szCs w:val="22"/>
        </w:rPr>
        <w:t xml:space="preserve">  L E I:</w:t>
      </w:r>
    </w:p>
    <w:p w14:paraId="2895D27E" w14:textId="77777777" w:rsidR="00473CE3" w:rsidRDefault="0085330E">
      <w:pPr>
        <w:tabs>
          <w:tab w:val="left" w:pos="187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Art. 1°</w:t>
      </w:r>
      <w:r>
        <w:rPr>
          <w:rFonts w:ascii="Arial" w:hAnsi="Arial" w:cs="Arial"/>
          <w:sz w:val="22"/>
          <w:szCs w:val="22"/>
        </w:rPr>
        <w:t xml:space="preserve"> Fica </w:t>
      </w:r>
      <w:r>
        <w:rPr>
          <w:rFonts w:ascii="Arial" w:hAnsi="Arial" w:cs="Arial"/>
          <w:sz w:val="22"/>
          <w:szCs w:val="22"/>
        </w:rPr>
        <w:t>alterado o artigo 38 da Lei Municipal n° 3.707, de 27 de novembro de 2013, que passa a vigorar com a seguinte redação:</w:t>
      </w:r>
    </w:p>
    <w:p w14:paraId="16B8EC70" w14:textId="77777777" w:rsidR="00473CE3" w:rsidRDefault="0085330E">
      <w:pPr>
        <w:tabs>
          <w:tab w:val="left" w:pos="187"/>
        </w:tabs>
        <w:spacing w:before="240" w:after="240" w:line="360" w:lineRule="auto"/>
        <w:ind w:left="680"/>
        <w:jc w:val="both"/>
        <w:rPr>
          <w:rFonts w:hint="eastAsia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>“Art. 38 (…)</w:t>
      </w:r>
    </w:p>
    <w:p w14:paraId="1B5D0E5A" w14:textId="77777777" w:rsidR="00D7600B" w:rsidRDefault="00D7600B">
      <w:pPr>
        <w:tabs>
          <w:tab w:val="left" w:pos="187"/>
        </w:tabs>
        <w:spacing w:before="240" w:after="240" w:line="360" w:lineRule="auto"/>
        <w:ind w:left="68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(...)</w:t>
      </w:r>
    </w:p>
    <w:p w14:paraId="4F535529" w14:textId="67113CF9" w:rsidR="00473CE3" w:rsidRDefault="0085330E">
      <w:pPr>
        <w:tabs>
          <w:tab w:val="left" w:pos="187"/>
        </w:tabs>
        <w:spacing w:before="240" w:after="240" w:line="360" w:lineRule="auto"/>
        <w:ind w:left="680"/>
        <w:jc w:val="both"/>
        <w:rPr>
          <w:rFonts w:hint="eastAsia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>§ 3° Para habilitação a concorrer à eleição ordinária ao cargo de Conselheiro Tutelar, o candidato deverá participar de capacitação prévia de 15 horas (sendo 10 horas sobre o Estatuto da Criança e do Adolescente, 3 horas sobre língua portuguesa e 2 horas sobre informática), promovida às expensas do Município, com no mínimo 75% de frequência, sobre as matérias previstas no inciso X deste artigo, realizada antes da prova de conhecimentos, mantendo-se a exigência de aprovação com no mínimo 50% de acertos em ca</w:t>
      </w:r>
      <w:r>
        <w:rPr>
          <w:rFonts w:ascii="Arial" w:hAnsi="Arial" w:cs="Arial"/>
          <w:i/>
          <w:iCs/>
          <w:sz w:val="22"/>
          <w:szCs w:val="22"/>
        </w:rPr>
        <w:t>da matéria. (NR)</w:t>
      </w:r>
    </w:p>
    <w:p w14:paraId="4AF6E2E1" w14:textId="3E81A2E5" w:rsidR="00473CE3" w:rsidRDefault="0085330E">
      <w:pPr>
        <w:tabs>
          <w:tab w:val="left" w:pos="187"/>
        </w:tabs>
        <w:spacing w:line="360" w:lineRule="auto"/>
        <w:ind w:left="680"/>
        <w:jc w:val="both"/>
        <w:rPr>
          <w:rFonts w:hint="eastAsia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>§ 4º Em caso de necessidade da realização de eleição extraordinária, decorrente da necessidade de preenchimento de suplência ou cargos vagos, será exigida apenas a média de 50% da nota global às provas que se referem o inciso X." (</w:t>
      </w:r>
      <w:r w:rsidR="00D7600B">
        <w:rPr>
          <w:rFonts w:ascii="Arial" w:hAnsi="Arial" w:cs="Arial"/>
          <w:i/>
          <w:iCs/>
          <w:sz w:val="22"/>
          <w:szCs w:val="22"/>
        </w:rPr>
        <w:t>AC</w:t>
      </w:r>
      <w:r>
        <w:rPr>
          <w:rFonts w:ascii="Arial" w:hAnsi="Arial" w:cs="Arial"/>
          <w:i/>
          <w:iCs/>
          <w:sz w:val="22"/>
          <w:szCs w:val="22"/>
        </w:rPr>
        <w:t>)</w:t>
      </w:r>
    </w:p>
    <w:p w14:paraId="7C6ABB89" w14:textId="77777777" w:rsidR="00473CE3" w:rsidRDefault="00473CE3">
      <w:pPr>
        <w:tabs>
          <w:tab w:val="left" w:pos="1620"/>
        </w:tabs>
        <w:spacing w:line="360" w:lineRule="auto"/>
        <w:ind w:left="737"/>
        <w:jc w:val="both"/>
        <w:rPr>
          <w:rFonts w:hint="eastAsia"/>
        </w:rPr>
      </w:pPr>
    </w:p>
    <w:p w14:paraId="25A962E5" w14:textId="77777777" w:rsidR="00473CE3" w:rsidRDefault="0085330E">
      <w:pPr>
        <w:tabs>
          <w:tab w:val="left" w:pos="1620"/>
        </w:tabs>
        <w:spacing w:line="360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Noto Serif Light" w:hAnsi="Arial" w:cs="Arial"/>
          <w:b/>
          <w:bCs/>
          <w:sz w:val="22"/>
          <w:szCs w:val="22"/>
        </w:rPr>
        <w:t xml:space="preserve">Art. 2º </w:t>
      </w:r>
      <w:r>
        <w:rPr>
          <w:rFonts w:ascii="Arial" w:eastAsia="Noto Serif Light" w:hAnsi="Arial" w:cs="Arial"/>
          <w:sz w:val="22"/>
          <w:szCs w:val="22"/>
        </w:rPr>
        <w:t>Esta Lei entra em vigor na data de sua publicação.</w:t>
      </w:r>
    </w:p>
    <w:p w14:paraId="6E43A2DC" w14:textId="77777777" w:rsidR="00473CE3" w:rsidRDefault="0085330E">
      <w:pPr>
        <w:tabs>
          <w:tab w:val="left" w:pos="1620"/>
        </w:tabs>
        <w:spacing w:before="240" w:after="240" w:line="360" w:lineRule="auto"/>
        <w:ind w:firstLine="720"/>
        <w:jc w:val="both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t xml:space="preserve">Art. 3° </w:t>
      </w:r>
      <w:r>
        <w:rPr>
          <w:rFonts w:ascii="Arial" w:eastAsia="Noto Serif Light" w:hAnsi="Arial" w:cs="Noto Serif Light"/>
          <w:sz w:val="22"/>
          <w:szCs w:val="22"/>
        </w:rPr>
        <w:t>Revogam-se as disposições em contrário.</w:t>
      </w:r>
    </w:p>
    <w:p w14:paraId="33CBD08D" w14:textId="77777777" w:rsidR="00473CE3" w:rsidRDefault="00473CE3">
      <w:pPr>
        <w:spacing w:before="240" w:after="240" w:line="360" w:lineRule="auto"/>
        <w:jc w:val="both"/>
        <w:rPr>
          <w:rFonts w:ascii="Arial" w:eastAsia="Noto Serif Light" w:hAnsi="Arial" w:cs="Noto Serif Light"/>
          <w:b/>
          <w:bCs/>
          <w:sz w:val="22"/>
          <w:szCs w:val="22"/>
        </w:rPr>
      </w:pPr>
    </w:p>
    <w:p w14:paraId="2D0C8A2A" w14:textId="77777777" w:rsidR="00473CE3" w:rsidRDefault="0085330E">
      <w:pPr>
        <w:spacing w:before="240" w:after="240" w:line="360" w:lineRule="auto"/>
        <w:jc w:val="both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lastRenderedPageBreak/>
        <w:tab/>
      </w:r>
      <w:bookmarkStart w:id="5" w:name="OLE_LINK5"/>
      <w:bookmarkStart w:id="6" w:name="OLE_LINK51"/>
      <w:bookmarkStart w:id="7" w:name="OLE_LINK161"/>
      <w:bookmarkStart w:id="8" w:name="OLE_LINK41"/>
      <w:bookmarkStart w:id="9" w:name="OLE_LINK21"/>
      <w:r>
        <w:rPr>
          <w:rFonts w:ascii="Arial" w:eastAsia="Noto Serif Light" w:hAnsi="Arial" w:cs="Noto Serif Light"/>
          <w:sz w:val="22"/>
          <w:szCs w:val="22"/>
        </w:rPr>
        <w:t>GABINETE DO PREFEITO MUNICIPAL DE DOIS IRMÃOS/RS, EM 06 DE AGOSTO DE 2026.</w:t>
      </w:r>
    </w:p>
    <w:p w14:paraId="551D3809" w14:textId="77777777" w:rsidR="00473CE3" w:rsidRDefault="00473CE3">
      <w:pPr>
        <w:spacing w:before="240" w:after="240" w:line="360" w:lineRule="auto"/>
        <w:jc w:val="both"/>
        <w:rPr>
          <w:rFonts w:hint="eastAsia"/>
          <w:sz w:val="16"/>
          <w:szCs w:val="16"/>
        </w:rPr>
      </w:pPr>
    </w:p>
    <w:p w14:paraId="5CFB95BF" w14:textId="77777777" w:rsidR="00473CE3" w:rsidRDefault="0085330E">
      <w:pPr>
        <w:widowControl w:val="0"/>
        <w:spacing w:before="240" w:after="240" w:line="360" w:lineRule="auto"/>
        <w:jc w:val="right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t>JERRI ADRIANI MENEGHETTI,</w:t>
      </w:r>
    </w:p>
    <w:p w14:paraId="3AACB07B" w14:textId="77777777" w:rsidR="00473CE3" w:rsidRDefault="0085330E">
      <w:pPr>
        <w:widowControl w:val="0"/>
        <w:spacing w:before="240" w:after="240" w:line="360" w:lineRule="auto"/>
        <w:ind w:firstLine="1701"/>
        <w:jc w:val="right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t>PREFEITO MUNICIPAL.</w:t>
      </w:r>
    </w:p>
    <w:p w14:paraId="0DFB2E56" w14:textId="77777777" w:rsidR="00473CE3" w:rsidRDefault="00473CE3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  <w:sz w:val="20"/>
          <w:szCs w:val="20"/>
        </w:rPr>
      </w:pPr>
    </w:p>
    <w:p w14:paraId="782D4FF0" w14:textId="77777777" w:rsidR="00473CE3" w:rsidRDefault="00473CE3">
      <w:pPr>
        <w:spacing w:line="360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D609AF3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E256AB6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C7BD3DB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357B6F9F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5B75F25D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56DFBE30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6090208F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143E0816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2AC8EA51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8D1F359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297199F1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062B68BA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4A5D678F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C5AB76E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3F3BF909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ACDB4B1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4099F61E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6D83B4A3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0B5C5F3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0877FB7C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DF76F6D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187AAF52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35A4A70B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08A92B10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5CE5C506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75C46A91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0B393264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2C4EE798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6A176DB6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1FD8C180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598411EE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3AB0CDC6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2BD2F781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576DC9C8" w14:textId="77777777" w:rsidR="00473CE3" w:rsidRDefault="00473CE3">
      <w:pPr>
        <w:spacing w:line="276" w:lineRule="auto"/>
        <w:jc w:val="both"/>
        <w:rPr>
          <w:rFonts w:ascii="Arial" w:eastAsia="Noto Serif Light" w:hAnsi="Arial" w:cs="Noto Serif Light"/>
          <w:b/>
          <w:sz w:val="21"/>
          <w:szCs w:val="21"/>
        </w:rPr>
      </w:pPr>
    </w:p>
    <w:p w14:paraId="29E2E728" w14:textId="77777777" w:rsidR="00473CE3" w:rsidRDefault="0085330E">
      <w:pPr>
        <w:spacing w:before="240" w:after="240" w:line="360" w:lineRule="auto"/>
        <w:jc w:val="center"/>
        <w:rPr>
          <w:rFonts w:hint="eastAsia"/>
          <w:sz w:val="22"/>
          <w:szCs w:val="22"/>
        </w:rPr>
      </w:pPr>
      <w:r>
        <w:rPr>
          <w:rFonts w:ascii="Arial" w:eastAsia="Noto Serif Light" w:hAnsi="Arial" w:cs="Noto Serif Light"/>
          <w:b/>
          <w:sz w:val="22"/>
          <w:szCs w:val="22"/>
        </w:rPr>
        <w:lastRenderedPageBreak/>
        <w:t>E</w:t>
      </w:r>
      <w:bookmarkStart w:id="10" w:name="OLE_LINK52"/>
      <w:bookmarkStart w:id="11" w:name="OLE_LINK6"/>
      <w:bookmarkStart w:id="12" w:name="OLE_LINK8"/>
      <w:bookmarkStart w:id="13" w:name="OLE_LINK18"/>
      <w:bookmarkStart w:id="14" w:name="OLE_LINK7"/>
      <w:r>
        <w:rPr>
          <w:rFonts w:ascii="Arial" w:eastAsia="Noto Serif Light" w:hAnsi="Arial" w:cs="Noto Serif Light"/>
          <w:b/>
          <w:sz w:val="22"/>
          <w:szCs w:val="22"/>
        </w:rPr>
        <w:t>XPOSIÇÃO DE MOTIVOS</w:t>
      </w:r>
    </w:p>
    <w:p w14:paraId="00CAB9C9" w14:textId="3DC697B9" w:rsidR="00473CE3" w:rsidRDefault="0085330E">
      <w:pPr>
        <w:spacing w:before="240" w:after="240" w:line="360" w:lineRule="auto"/>
        <w:jc w:val="both"/>
        <w:rPr>
          <w:rFonts w:hint="eastAsia"/>
          <w:sz w:val="22"/>
          <w:szCs w:val="22"/>
        </w:rPr>
      </w:pPr>
      <w:r>
        <w:rPr>
          <w:rFonts w:ascii="Arial" w:eastAsia="Noto Serif Light" w:hAnsi="Arial" w:cs="Noto Serif Light"/>
          <w:sz w:val="22"/>
          <w:szCs w:val="22"/>
        </w:rPr>
        <w:tab/>
        <w:t>Encaminhamos o presente Projeto de Lei nº 78/2026 que “</w:t>
      </w:r>
      <w:r w:rsidR="00D7600B">
        <w:rPr>
          <w:rFonts w:ascii="Arial" w:eastAsia="Noto Serif Light" w:hAnsi="Arial" w:cs="Noto Serif Light"/>
          <w:b/>
          <w:bCs/>
          <w:sz w:val="22"/>
          <w:szCs w:val="22"/>
        </w:rPr>
        <w:t>MODIFICA O ART. 38 DA LEI MUNICIPAL Nº 3.707, DE 27 DE NOVEMBRO DE 2013, LEI QUE DISPÕE SOBRE A POLÍTICA MUNICIPAL DE PROTEÇÃO AOS DIREITOS DA CRIANÇA E DO ADOLESCENTE NO MUNICÍPIO DE DOIS IRMÃOS, RS, E DÁ OUTRAS PROVIDÊNCIAS</w:t>
      </w:r>
      <w:r>
        <w:rPr>
          <w:rFonts w:ascii="Arial" w:eastAsia="Noto Serif Light" w:hAnsi="Arial" w:cs="Noto Serif Light"/>
          <w:sz w:val="22"/>
          <w:szCs w:val="22"/>
        </w:rPr>
        <w:t>” para apreciação e deliberação dos senhores Edis.</w:t>
      </w:r>
    </w:p>
    <w:p w14:paraId="7C45F5BC" w14:textId="77777777" w:rsidR="00473CE3" w:rsidRDefault="0085330E">
      <w:p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Arial"/>
          <w:sz w:val="22"/>
          <w:szCs w:val="22"/>
        </w:rPr>
        <w:t>A presente proposição legislativa visa atender à imperiosa necessidade de aperfeiçoar o regramento do processo de escolha dos membros do Conselho Tutelar do Município de Dois Irmãos. Pretende-se garantir a permanente e ininterrupta composição desse órgão essencial, assegurando tanto o preenchimento regular dos cargos titulares quanto a formação de um quadro de suplentes em número suficiente.</w:t>
      </w:r>
    </w:p>
    <w:p w14:paraId="22F12376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O Conselho Tutelar é órgão permanente e autônomo, não jurisdicional, encarregado de zelar pelo cumprimento dos direitos da criança e do adolescente. A legislação local exige, como condição de habilitação dos candidatos, a aprovação em prova de conhecimentos sobre o Estatuto da Criança e do Adolescente, língua portuguesa e conhecimentos em informática.</w:t>
      </w:r>
    </w:p>
    <w:p w14:paraId="17EA361E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Ocorre que a redação atual do § 3º do art. 38 da Lei Municipal nº 3.707/2013 estabelece o critério de aprovação mediante a exigência de acerto mínimo de 50% em cada uma das matérias individualmente. Esse rigor por disciplina isolada tem gerado um elevado índice de reprovação de candidatos aptos e com comprovada experiência no atendimento direto à infância e à adolescência.</w:t>
      </w:r>
    </w:p>
    <w:p w14:paraId="0F2AE4FC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Em decorrência disso, verificou-se a escassez de candidatos aprovados para recompor a suplência do colegiado. Essa situação exigiu a realização de processo de escolha extraordinário indireto perante o Conselho Municipal dos Direitos da Criança e do Adolescente, conforme disciplinado no Edital nº 001/2026, sendo que dos participantes, nenhum foi aprovado.</w:t>
      </w:r>
    </w:p>
    <w:p w14:paraId="7B9F40FB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Para evitar o desfalque na prestação desse serviço público essencial e assegurar a plena continuidade das atividades tutelares no Município, faz-se indispensável criar um regime diferenciado e célere de aprovação para os pleitos extraordinários, mantendo ao mesmo tempo a exigência de aprovação por matéria no certame ordinário, acrescida de capacitação prévia obrigatória realizada antes da prova de conhecimentos.</w:t>
      </w:r>
    </w:p>
    <w:p w14:paraId="278CC82F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 xml:space="preserve">A fundamentação desta alteração legislativa repousa diretamente no princípio da prioridade absoluta e da proteção integral à criança e ao adolescente, consagrado no art. 227 da Constituição </w:t>
      </w:r>
      <w:r>
        <w:rPr>
          <w:rFonts w:ascii="Arial" w:eastAsia="Noto Serif Light" w:hAnsi="Arial" w:cs="Arial"/>
          <w:sz w:val="22"/>
          <w:szCs w:val="22"/>
        </w:rPr>
        <w:lastRenderedPageBreak/>
        <w:t>Federal. A norma constitucional estabelece ser dever do Estado, da família e da sociedade assegurar, com absoluta prioridade, os direitos fundamentais do público infantojuvenil.</w:t>
      </w:r>
    </w:p>
    <w:p w14:paraId="5EE8753C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Nesse diapasão, a Lei Federal nº 8.069/1990 (Estatuto da Criança e do Adolescente) impõe em seu art. 132 a obrigatoriedade de funcionamento de, no mínimo, um Conselho Tutelar em cada município, composto por cinco membros e com suplência permanente. O art. 139 do mesmo diploma atribui à lei municipal a competência para estabelecer o processo de escolha desses agentes públicos.</w:t>
      </w:r>
    </w:p>
    <w:p w14:paraId="16E6678D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O Tribunal de Justiça do Estado do Rio Grande do Sul reconhece a primazia da continuidade do serviço tutelar e a necessidade de preservar o pleno funcionamento do órgão para a salvaguarda da infância:</w:t>
      </w:r>
    </w:p>
    <w:p w14:paraId="201F3D27" w14:textId="77777777" w:rsidR="00473CE3" w:rsidRDefault="0085330E">
      <w:pPr>
        <w:spacing w:before="240" w:after="240" w:line="360" w:lineRule="auto"/>
        <w:ind w:left="1701"/>
        <w:jc w:val="both"/>
        <w:rPr>
          <w:rFonts w:hint="eastAsia"/>
          <w:sz w:val="18"/>
          <w:szCs w:val="18"/>
        </w:rPr>
      </w:pPr>
      <w:r>
        <w:rPr>
          <w:rFonts w:ascii="Arial" w:eastAsia="Noto Serif Light" w:hAnsi="Arial" w:cs="Arial"/>
          <w:sz w:val="18"/>
          <w:szCs w:val="18"/>
        </w:rPr>
        <w:t>Ementa: AGRAVO DE INSTRUMENTO. MUNICÍPIO DE JÚLIO DE CASTILHOS. CONSELHO TUTELAR. TUTELA ANTECIPADA DEFERIDA NA ORIGEM. DECISÃO MANTIDA. TUTELA DEFERIDA APENAS PARA NÃO OBSTAR A POSSE DE NOVOS CONSELHEIROS. O Conselho Tutelar é órgão permanente e autônomo, não jurisdicional, encarregado pela sociedade de zelar pelo cumprimento dos direitos da criança e do adolescente, os quais estão constitucionalmente assegurados. Possui atribuição de relevância social e fundamental no atendimento a crianças e adolescentes</w:t>
      </w:r>
      <w:r>
        <w:rPr>
          <w:rFonts w:ascii="Arial" w:eastAsia="Noto Serif Light" w:hAnsi="Arial" w:cs="Arial"/>
          <w:sz w:val="18"/>
          <w:szCs w:val="18"/>
        </w:rPr>
        <w:t xml:space="preserve"> em situação de risco, a fim de resguardar e consolidar a proteção integral infanto-juvenil. Seus membros são escolhidos em processo, o qual é estabelecido em lei municipal e realizado sob a responsabilidade do Conselho Municipal dos Direitos da Criança e do Adolescente, nos termos do artigo 139 do Estatuto da Criança e do Adolescente. Assim, em atenção ao §1º do artigo supra, foi editada Resolução Federal nº 139/2010, pelo Conselho Nacional dos Direitos da Criança e do Adolescente, posteriormente alterada </w:t>
      </w:r>
      <w:r>
        <w:rPr>
          <w:rFonts w:ascii="Arial" w:eastAsia="Noto Serif Light" w:hAnsi="Arial" w:cs="Arial"/>
          <w:sz w:val="18"/>
          <w:szCs w:val="18"/>
        </w:rPr>
        <w:t>pela Resolução nº 170/2014, que dispõe sobre o processo de escolha em data unificada em todo o território nacional dos membros do Conselho Tutelar. Pela análise do que dispõe a referida Resolução, verifica-se que a própria norma assegura a manutenção desse relevante serviço social – sopesando tal valor em detrimento do próprio processo de escolha dos membros. Nota-se que a finalidade da resolução federal visa à garantia da proteção integral, por meio das funções de Conselheiro Tutelar, o que é corroborado p</w:t>
      </w:r>
      <w:r>
        <w:rPr>
          <w:rFonts w:ascii="Arial" w:eastAsia="Noto Serif Light" w:hAnsi="Arial" w:cs="Arial"/>
          <w:sz w:val="18"/>
          <w:szCs w:val="18"/>
        </w:rPr>
        <w:t>ela redação do artigo 13, §1º, dispõe que poderá suspender o trâmite do processo de escolha e reabrir prazo para inscrição de novas candidaturas, sem prejuízo da garantia de posse dos novos conselheiros ao término do mandato em curso”. Significa, portanto, que ainda que se apure a inobservância dos termos da resolução federal e do próprio certame, é expressamente preservada pelo dispositivo a posse dos novos conselheiros ao término do mandato em curso. A razão é intuitiva. É imprescindível que se mantenha m</w:t>
      </w:r>
      <w:r>
        <w:rPr>
          <w:rFonts w:ascii="Arial" w:eastAsia="Noto Serif Light" w:hAnsi="Arial" w:cs="Arial"/>
          <w:sz w:val="18"/>
          <w:szCs w:val="18"/>
        </w:rPr>
        <w:t>embros no exercício dessa função com incumbência de atuar na proteção de crianças e adolescentes em situação de risco. De outra banda, a suspensão do processo de escolha, quando não atingido o número mínimo, tem como objetivo a ampliação da escolha pelos eleitores dos membros que irão prestar o serviço dentro de comunidades locais em contato direito com a população, o que é estampado na própria Resolução nº 170 (artigo 13, §2º), em que restou positivado que “em qualquer caso, o Conselho Municipal ou do Dist</w:t>
      </w:r>
      <w:r>
        <w:rPr>
          <w:rFonts w:ascii="Arial" w:eastAsia="Noto Serif Light" w:hAnsi="Arial" w:cs="Arial"/>
          <w:sz w:val="18"/>
          <w:szCs w:val="18"/>
        </w:rPr>
        <w:t xml:space="preserve">rito Federal dos Direito da Criança e do Adolescente deverá envidar esforços </w:t>
      </w:r>
      <w:r>
        <w:rPr>
          <w:rFonts w:ascii="Arial" w:eastAsia="Noto Serif Light" w:hAnsi="Arial" w:cs="Arial"/>
          <w:sz w:val="18"/>
          <w:szCs w:val="18"/>
        </w:rPr>
        <w:lastRenderedPageBreak/>
        <w:t xml:space="preserve">para que o número de candidatos seja o maior possível, de modo a ampliar as opções de escolha pelos eleitores e obter um número maior de suplentes”. Por esse motivo, entendo que a decisão impugnada, impôs acertadamente a suspensão, a fim de dar o devido cumprimento, não só à norma regente, mas também tendo em foco os princípios inerentes ao Estado Democrático de Direito. AGRAVO PARCIALMENTE PROVIDO. </w:t>
      </w:r>
      <w:proofErr w:type="gramStart"/>
      <w:r>
        <w:rPr>
          <w:rFonts w:ascii="Arial" w:eastAsia="Noto Serif Light" w:hAnsi="Arial" w:cs="Arial"/>
          <w:sz w:val="18"/>
          <w:szCs w:val="18"/>
        </w:rPr>
        <w:t>UNÂNIME.(</w:t>
      </w:r>
      <w:proofErr w:type="gramEnd"/>
      <w:r>
        <w:rPr>
          <w:rFonts w:ascii="Arial" w:eastAsia="Noto Serif Light" w:hAnsi="Arial" w:cs="Arial"/>
          <w:sz w:val="18"/>
          <w:szCs w:val="18"/>
        </w:rPr>
        <w:t xml:space="preserve">Agravo de Instrumento, </w:t>
      </w:r>
      <w:r>
        <w:rPr>
          <w:rFonts w:ascii="Arial" w:eastAsia="Noto Serif Light" w:hAnsi="Arial" w:cs="Arial"/>
          <w:sz w:val="18"/>
          <w:szCs w:val="18"/>
        </w:rPr>
        <w:t xml:space="preserve">Nº 71009053554, Segunda Turma Recursal da Fazenda Pública, Turmas Recursais, Relator: Mauro </w:t>
      </w:r>
      <w:proofErr w:type="spellStart"/>
      <w:r>
        <w:rPr>
          <w:rFonts w:ascii="Arial" w:eastAsia="Noto Serif Light" w:hAnsi="Arial" w:cs="Arial"/>
          <w:sz w:val="18"/>
          <w:szCs w:val="18"/>
        </w:rPr>
        <w:t>Caum</w:t>
      </w:r>
      <w:proofErr w:type="spellEnd"/>
      <w:r>
        <w:rPr>
          <w:rFonts w:ascii="Arial" w:eastAsia="Noto Serif Light" w:hAnsi="Arial" w:cs="Arial"/>
          <w:sz w:val="18"/>
          <w:szCs w:val="18"/>
        </w:rPr>
        <w:t xml:space="preserve"> Gonçalves, Julgado em: 20-05-2020)</w:t>
      </w:r>
    </w:p>
    <w:p w14:paraId="6979CC18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De igual modo, a jurisprudência da Corte Estadual gaúcha ratifica a validade da adequação das regras dos processos seletivos locais para viabilizar o atingimento do número mínimo de conselheiros e suplentes habilitados:</w:t>
      </w:r>
    </w:p>
    <w:p w14:paraId="0097A723" w14:textId="77777777" w:rsidR="00473CE3" w:rsidRDefault="0085330E">
      <w:pPr>
        <w:spacing w:before="240" w:after="240" w:line="360" w:lineRule="auto"/>
        <w:ind w:left="1701"/>
        <w:jc w:val="both"/>
        <w:rPr>
          <w:rFonts w:hint="eastAsia"/>
          <w:sz w:val="18"/>
          <w:szCs w:val="18"/>
        </w:rPr>
      </w:pPr>
      <w:r>
        <w:rPr>
          <w:rFonts w:ascii="Arial" w:eastAsia="Noto Serif Light" w:hAnsi="Arial" w:cs="Arial"/>
          <w:sz w:val="18"/>
          <w:szCs w:val="18"/>
        </w:rPr>
        <w:t xml:space="preserve">Ementa: MANDADO DE SEGURANÇA. CONCURSO PÚBLICO. PROCESSO SELETIVO. CONSELHEIRO TUTELAR. MUNICÍPIO DE CAÇAPAVA DO SUL - EDITAL Nº 02/2023 E 03/2023. RESOLUÇÃO 231/2022 DO CONANDA. NÃO ATINGIMENTO DO NÚMERO MÍNIMO DE 10 (DEZ) PRETENDENTES DEVIDAMENTE HABILITADOS PARA CADA COLEGIADO. ABERTURA DE NOVO EDITAL. PRETENSÃO DE SUSPENSÃO DO PROCESSO DE ESCOLHA. TUTELA DE </w:t>
      </w:r>
      <w:proofErr w:type="gramStart"/>
      <w:r>
        <w:rPr>
          <w:rFonts w:ascii="Arial" w:eastAsia="Noto Serif Light" w:hAnsi="Arial" w:cs="Arial"/>
          <w:sz w:val="18"/>
          <w:szCs w:val="18"/>
        </w:rPr>
        <w:t>URGÊNCIA .</w:t>
      </w:r>
      <w:proofErr w:type="gramEnd"/>
      <w:r>
        <w:rPr>
          <w:rFonts w:ascii="Arial" w:eastAsia="Noto Serif Light" w:hAnsi="Arial" w:cs="Arial"/>
          <w:sz w:val="18"/>
          <w:szCs w:val="18"/>
        </w:rPr>
        <w:t xml:space="preserve"> INDEFERIDA. DECISÃO PARCIALMENTE REFORMADA. 1. No caso devolvido ao exame, requer a parte agravante, a reforma da decisão vergastada, para que seja suspenso o processo de seleção dos membros do Conselho Tutelar de Caçapava do Sul aberto através do Edital nº 003/23.2. Na hipótese telada, somente nove candidatos alcançaram o desempenho mínimo de 60% na primeira prova de conhecimento teórico. De acordo com a previsão do art. 13 da Resolução 231/2022 do CONANDA, o processo de escolha para o Conselho </w:t>
      </w:r>
      <w:r>
        <w:rPr>
          <w:rFonts w:ascii="Arial" w:eastAsia="Noto Serif Light" w:hAnsi="Arial" w:cs="Arial"/>
          <w:sz w:val="18"/>
          <w:szCs w:val="18"/>
        </w:rPr>
        <w:t>Tutelar ocorrerá com o número mínimo de dez pretendentes devidamente habilitados para cada Colegiado.3. Abertura de segundo edital com o mesmo objeto. Deve ser mantido o primeiro processo de Conselheiros Tutelares de Caçapava do Sul, com os pretendentes aprovados na primeira prova de conhecimentos teóricos, com a inclusão no pleito de classificado(s) no segundo teste de conhecimentos teóricos, mas apenas até a obtenção de dez candidatos no total, com a exclusão dos demais concorrentes. AGRAVO DE INSTRUMENTO</w:t>
      </w:r>
      <w:r>
        <w:rPr>
          <w:rFonts w:ascii="Arial" w:eastAsia="Noto Serif Light" w:hAnsi="Arial" w:cs="Arial"/>
          <w:sz w:val="18"/>
          <w:szCs w:val="18"/>
        </w:rPr>
        <w:t xml:space="preserve"> PARCIALMENTE PROVIDO. (Agravo de Instrumento, Nº 53079889820238217000, Terceira Câmara Cível, Tribunal de Justiça do RS, Relator: Nelson </w:t>
      </w:r>
      <w:proofErr w:type="spellStart"/>
      <w:r>
        <w:rPr>
          <w:rFonts w:ascii="Arial" w:eastAsia="Noto Serif Light" w:hAnsi="Arial" w:cs="Arial"/>
          <w:sz w:val="18"/>
          <w:szCs w:val="18"/>
        </w:rPr>
        <w:t>Antonio</w:t>
      </w:r>
      <w:proofErr w:type="spellEnd"/>
      <w:r>
        <w:rPr>
          <w:rFonts w:ascii="Arial" w:eastAsia="Noto Serif Light" w:hAnsi="Arial" w:cs="Arial"/>
          <w:sz w:val="18"/>
          <w:szCs w:val="18"/>
        </w:rPr>
        <w:t xml:space="preserve"> Monteiro Pacheco, Julgado em: 21-11-2024)</w:t>
      </w:r>
    </w:p>
    <w:p w14:paraId="54F3AB34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 xml:space="preserve">Portanto, a adequação promovida por este Projeto de Lei encontra amparo no interesse local e na competência do Município para disciplinar o processo de escolha dos conselheiros tutelares (art. 30, incisos I e II, da Constituição Federal, e art. 139 do Estatuto da Criança e do </w:t>
      </w:r>
      <w:proofErr w:type="gramStart"/>
      <w:r>
        <w:rPr>
          <w:rFonts w:ascii="Arial" w:eastAsia="Noto Serif Light" w:hAnsi="Arial" w:cs="Arial"/>
          <w:sz w:val="22"/>
          <w:szCs w:val="22"/>
        </w:rPr>
        <w:t>Adolescente )</w:t>
      </w:r>
      <w:proofErr w:type="gramEnd"/>
      <w:r>
        <w:rPr>
          <w:rFonts w:ascii="Arial" w:eastAsia="Noto Serif Light" w:hAnsi="Arial" w:cs="Arial"/>
          <w:sz w:val="22"/>
          <w:szCs w:val="22"/>
        </w:rPr>
        <w:t>, guardando perfeita consonância com a legislação federal e alinhada com a jurisprudência consolidada do Tribunal de Justiça gaúcho.</w:t>
      </w:r>
    </w:p>
    <w:p w14:paraId="22FBBA4B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A alteração proposta desdobra-se em dois pilares fundamentais e complementares, estruturados de forma a conferir eficiência e qualificação ao Conselho Tutelar.</w:t>
      </w:r>
    </w:p>
    <w:p w14:paraId="2E268A5E" w14:textId="77777777" w:rsidR="00473CE3" w:rsidRDefault="00473CE3">
      <w:pPr>
        <w:spacing w:before="240" w:after="240" w:line="360" w:lineRule="auto"/>
        <w:ind w:firstLine="737"/>
        <w:jc w:val="both"/>
        <w:rPr>
          <w:rFonts w:ascii="Arial" w:eastAsia="Noto Serif Light" w:hAnsi="Arial" w:cs="Arial"/>
          <w:sz w:val="22"/>
          <w:szCs w:val="22"/>
        </w:rPr>
      </w:pPr>
    </w:p>
    <w:p w14:paraId="1796F7B1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lastRenderedPageBreak/>
        <w:t>Em primeiro lugar, estabelece-se que, nas eleições extraordinárias destinadas ao preenchimento de vacâncias e formação de cadastro de suplência, a aprovação na prova de conhecimentos exigirá apenas a média global de 50% de acertos sobre a totalidade da prova. Essa medida elimina a exigência de nota mínima por matéria individualizada nas seleções extraordinárias.</w:t>
      </w:r>
    </w:p>
    <w:p w14:paraId="15A8F5FA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Com essa flexibilização no certame extraordinário, preserva-se o aferimento do conhecimento teórico do candidato sem inviabilizar a recomposição urgente da nominata de suplentes. Garante-se, assim, que a sociedade contará com agentes públicos aptos para assumir de imediato o cargo em casos de licenças, férias ou vacâncias dos titulares.</w:t>
      </w:r>
    </w:p>
    <w:p w14:paraId="0DF145E6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Em segundo lugar, visando elevar a qualidade do atendimento no certame ordinário, estabelece-se a capacitação de 15 horas (sendo 10 horas sobre o Estatuto da Criança e do Adolescente, 3 horas sobre língua portuguesa e 2 horas sobre informática), com frequência mínima de 75%, ocorrerá previamente à realização da prova de conhecimentos, mantendo-se para essa eleição ordinária a exigência de aprovação com no mínimo 50% de acertos em cada matéria prevista no inciso X do art. 38.</w:t>
      </w:r>
    </w:p>
    <w:p w14:paraId="7C13465E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Dessa forma, equilibra-se a agilidade necessária nos pleitos extraordinários de suplência com o aprimoramento técnico exigido para as eleições ordinárias unificadas. Garante-se que os cidadãos de Dois Irmãos sejam atendidos por conselheiros tutelares devidamente preparados para enfrentar os desafios da proteção à infância e à adolescência.</w:t>
      </w:r>
    </w:p>
    <w:p w14:paraId="0A7F7EBC" w14:textId="77777777" w:rsidR="00473CE3" w:rsidRDefault="0085330E">
      <w:pPr>
        <w:spacing w:before="240" w:after="240" w:line="360" w:lineRule="auto"/>
        <w:ind w:firstLine="737"/>
        <w:jc w:val="both"/>
        <w:rPr>
          <w:rFonts w:hint="eastAsia"/>
        </w:rPr>
      </w:pPr>
      <w:r>
        <w:rPr>
          <w:rFonts w:ascii="Arial" w:eastAsia="Noto Serif Light" w:hAnsi="Arial" w:cs="Arial"/>
          <w:sz w:val="22"/>
          <w:szCs w:val="22"/>
        </w:rPr>
        <w:t>Diante do exposto e estando preenchidos os requisitos constitucionais, legais e de relevante interesse público, solicitamos a apreciação e a aprovação do presente Projeto de Lei por este Egrégio Poder Legislativo.</w:t>
      </w:r>
    </w:p>
    <w:p w14:paraId="582DAC11" w14:textId="77777777" w:rsidR="00473CE3" w:rsidRDefault="0085330E">
      <w:pPr>
        <w:spacing w:before="240" w:after="240" w:line="360" w:lineRule="auto"/>
        <w:jc w:val="both"/>
        <w:rPr>
          <w:rFonts w:ascii="Arial" w:eastAsia="Noto Serif Light" w:hAnsi="Arial" w:cs="Arial"/>
          <w:b/>
          <w:bCs/>
          <w:sz w:val="22"/>
          <w:szCs w:val="22"/>
        </w:rPr>
      </w:pPr>
      <w:r>
        <w:rPr>
          <w:rFonts w:ascii="Arial" w:eastAsia="Noto Serif Light" w:hAnsi="Arial" w:cs="Arial"/>
          <w:sz w:val="22"/>
          <w:szCs w:val="22"/>
        </w:rPr>
        <w:tab/>
        <w:t>Aproveitamos o ensejo para renovar protestos de elevado apreço e consideração</w:t>
      </w:r>
      <w:r>
        <w:rPr>
          <w:rFonts w:ascii="Arial" w:eastAsia="Noto Serif Light" w:hAnsi="Arial" w:cs="Arial"/>
          <w:b/>
          <w:bCs/>
          <w:sz w:val="22"/>
          <w:szCs w:val="22"/>
        </w:rPr>
        <w:t>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B2EE3BC" w14:textId="77777777" w:rsidR="00473CE3" w:rsidRDefault="00473CE3">
      <w:pPr>
        <w:spacing w:before="240" w:after="240" w:line="360" w:lineRule="auto"/>
        <w:jc w:val="both"/>
        <w:rPr>
          <w:rFonts w:hint="eastAsia"/>
          <w:sz w:val="22"/>
          <w:szCs w:val="22"/>
        </w:rPr>
      </w:pPr>
    </w:p>
    <w:p w14:paraId="00E3A228" w14:textId="77777777" w:rsidR="00473CE3" w:rsidRDefault="0085330E">
      <w:pPr>
        <w:widowControl w:val="0"/>
        <w:spacing w:before="240" w:after="240" w:line="360" w:lineRule="auto"/>
        <w:jc w:val="right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t>JERRI ADRIANI MENEGHETTI,</w:t>
      </w:r>
    </w:p>
    <w:p w14:paraId="37D07993" w14:textId="77777777" w:rsidR="00473CE3" w:rsidRDefault="0085330E">
      <w:pPr>
        <w:widowControl w:val="0"/>
        <w:spacing w:before="240" w:after="240" w:line="360" w:lineRule="auto"/>
        <w:ind w:firstLine="1701"/>
        <w:jc w:val="right"/>
        <w:rPr>
          <w:rFonts w:hint="eastAsia"/>
        </w:rPr>
      </w:pPr>
      <w:r>
        <w:rPr>
          <w:rFonts w:ascii="Arial" w:eastAsia="Noto Serif Light" w:hAnsi="Arial" w:cs="Noto Serif Light"/>
          <w:b/>
          <w:bCs/>
          <w:sz w:val="22"/>
          <w:szCs w:val="22"/>
        </w:rPr>
        <w:t>PREFEITO MUNICIPAL.</w:t>
      </w:r>
    </w:p>
    <w:p w14:paraId="53D4DA36" w14:textId="77777777" w:rsidR="00473CE3" w:rsidRDefault="00473CE3">
      <w:pPr>
        <w:widowControl w:val="0"/>
        <w:spacing w:after="240" w:line="360" w:lineRule="auto"/>
        <w:ind w:firstLine="1701"/>
        <w:jc w:val="right"/>
        <w:rPr>
          <w:rFonts w:ascii="Arial" w:eastAsia="Noto Serif Light" w:hAnsi="Arial" w:cs="Noto Serif Light"/>
          <w:sz w:val="22"/>
          <w:szCs w:val="22"/>
        </w:rPr>
      </w:pPr>
    </w:p>
    <w:p w14:paraId="27C43ECF" w14:textId="77777777" w:rsidR="00473CE3" w:rsidRDefault="00473CE3">
      <w:pPr>
        <w:widowControl w:val="0"/>
        <w:spacing w:after="240" w:line="360" w:lineRule="auto"/>
        <w:ind w:firstLine="1701"/>
        <w:jc w:val="both"/>
        <w:rPr>
          <w:rFonts w:ascii="Arial" w:eastAsia="Noto Serif Light" w:hAnsi="Arial" w:cs="Noto Serif Light"/>
          <w:b/>
          <w:bCs/>
          <w:sz w:val="22"/>
          <w:szCs w:val="22"/>
        </w:rPr>
      </w:pPr>
    </w:p>
    <w:sectPr w:rsidR="00473CE3">
      <w:headerReference w:type="default" r:id="rId7"/>
      <w:footerReference w:type="default" r:id="rId8"/>
      <w:pgSz w:w="11906" w:h="16838"/>
      <w:pgMar w:top="1795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6E1D" w14:textId="77777777" w:rsidR="0085330E" w:rsidRDefault="0085330E">
      <w:pPr>
        <w:rPr>
          <w:rFonts w:hint="eastAsia"/>
        </w:rPr>
      </w:pPr>
      <w:r>
        <w:separator/>
      </w:r>
    </w:p>
  </w:endnote>
  <w:endnote w:type="continuationSeparator" w:id="0">
    <w:p w14:paraId="2A276367" w14:textId="77777777" w:rsidR="0085330E" w:rsidRDefault="008533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nsolas">
    <w:panose1 w:val="020B060902020403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panose1 w:val="02020502060505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Mono">
    <w:altName w:val="Courier New"/>
    <w:panose1 w:val="02070409020205020404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Noto Serif Light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B268" w14:textId="77777777" w:rsidR="00473CE3" w:rsidRDefault="0085330E">
    <w:pPr>
      <w:pStyle w:val="Rodap"/>
      <w:tabs>
        <w:tab w:val="clear" w:pos="4819"/>
        <w:tab w:val="clear" w:pos="9638"/>
        <w:tab w:val="right" w:pos="9584"/>
      </w:tabs>
      <w:jc w:val="center"/>
      <w:rPr>
        <w:rFonts w:ascii="Century" w:hAnsi="Century" w:hint="eastAsia"/>
        <w:b/>
        <w:bCs/>
        <w:sz w:val="20"/>
        <w:szCs w:val="20"/>
      </w:rPr>
    </w:pPr>
    <w:r>
      <w:rPr>
        <w:rFonts w:ascii="Century" w:hAnsi="Century"/>
        <w:b/>
        <w:bCs/>
        <w:sz w:val="20"/>
        <w:szCs w:val="20"/>
      </w:rPr>
      <w:t>“DOE SANGUE, DOE ÓRGÃOS, SALVE UMA VIDA.”</w:t>
    </w:r>
  </w:p>
  <w:p w14:paraId="78262754" w14:textId="77777777" w:rsidR="00473CE3" w:rsidRDefault="0085330E">
    <w:pPr>
      <w:pStyle w:val="Rodap"/>
      <w:jc w:val="center"/>
      <w:rPr>
        <w:rFonts w:ascii="Century" w:hAnsi="Century" w:hint="eastAsia"/>
        <w:sz w:val="20"/>
        <w:szCs w:val="20"/>
      </w:rPr>
    </w:pPr>
    <w:r>
      <w:rPr>
        <w:rFonts w:ascii="Century" w:hAnsi="Century"/>
        <w:sz w:val="20"/>
        <w:szCs w:val="20"/>
      </w:rPr>
      <w:t>Rua Berlim, nº 240, Centro - Dois Irmãos/RS.</w:t>
    </w:r>
  </w:p>
  <w:p w14:paraId="6ABFC2C4" w14:textId="77777777" w:rsidR="00473CE3" w:rsidRDefault="0085330E">
    <w:pPr>
      <w:pStyle w:val="Rodap"/>
      <w:jc w:val="center"/>
      <w:rPr>
        <w:rFonts w:ascii="Century" w:hAnsi="Century" w:hint="eastAsia"/>
        <w:sz w:val="20"/>
        <w:szCs w:val="20"/>
      </w:rPr>
    </w:pPr>
    <w:r>
      <w:rPr>
        <w:rFonts w:ascii="Century" w:hAnsi="Century"/>
        <w:sz w:val="20"/>
        <w:szCs w:val="20"/>
      </w:rPr>
      <w:t>CEP: 93.950-000. Telefone: (51) 3564-8801</w:t>
    </w:r>
  </w:p>
  <w:p w14:paraId="599FBFC7" w14:textId="77777777" w:rsidR="00473CE3" w:rsidRDefault="0085330E">
    <w:pPr>
      <w:pStyle w:val="Rodap"/>
      <w:jc w:val="center"/>
      <w:rPr>
        <w:rFonts w:ascii="Century" w:hAnsi="Century" w:hint="eastAsia"/>
        <w:sz w:val="20"/>
        <w:szCs w:val="20"/>
      </w:rPr>
    </w:pPr>
    <w:r>
      <w:rPr>
        <w:rFonts w:ascii="Century" w:hAnsi="Century"/>
        <w:sz w:val="20"/>
        <w:szCs w:val="20"/>
      </w:rPr>
      <w:t>Site: www.doisirmaos.rs.gov.br - E-mail: gabinete@doisirmaos.rs.gov.br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86838" w14:textId="77777777" w:rsidR="0085330E" w:rsidRDefault="0085330E">
      <w:pPr>
        <w:rPr>
          <w:rFonts w:hint="eastAsia"/>
        </w:rPr>
      </w:pPr>
      <w:r>
        <w:separator/>
      </w:r>
    </w:p>
  </w:footnote>
  <w:footnote w:type="continuationSeparator" w:id="0">
    <w:p w14:paraId="701B0EF0" w14:textId="77777777" w:rsidR="0085330E" w:rsidRDefault="008533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CC10" w14:textId="77777777" w:rsidR="00473CE3" w:rsidRDefault="0085330E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7" behindDoc="0" locked="0" layoutInCell="0" allowOverlap="1" wp14:anchorId="20EA954A" wp14:editId="626DEC68">
          <wp:simplePos x="0" y="0"/>
          <wp:positionH relativeFrom="column">
            <wp:posOffset>176530</wp:posOffset>
          </wp:positionH>
          <wp:positionV relativeFrom="paragraph">
            <wp:posOffset>-187960</wp:posOffset>
          </wp:positionV>
          <wp:extent cx="574040" cy="674370"/>
          <wp:effectExtent l="0" t="0" r="0" b="0"/>
          <wp:wrapSquare wrapText="bothSides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3" behindDoc="0" locked="0" layoutInCell="0" allowOverlap="1" wp14:anchorId="2E133849" wp14:editId="32630E94">
          <wp:simplePos x="0" y="0"/>
          <wp:positionH relativeFrom="column">
            <wp:posOffset>4814570</wp:posOffset>
          </wp:positionH>
          <wp:positionV relativeFrom="paragraph">
            <wp:posOffset>-95250</wp:posOffset>
          </wp:positionV>
          <wp:extent cx="1402080" cy="605155"/>
          <wp:effectExtent l="0" t="0" r="0" b="0"/>
          <wp:wrapSquare wrapText="bothSides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hAnsi="Century"/>
      </w:rPr>
      <w:t>ESTADO DO RIO GRANDE DO SUL</w:t>
    </w:r>
  </w:p>
  <w:p w14:paraId="38808311" w14:textId="77777777" w:rsidR="00473CE3" w:rsidRDefault="0085330E">
    <w:pPr>
      <w:pStyle w:val="Cabealho"/>
      <w:jc w:val="center"/>
      <w:rPr>
        <w:rFonts w:ascii="Century" w:hAnsi="Century" w:hint="eastAsia"/>
        <w:b/>
        <w:bCs/>
      </w:rPr>
    </w:pPr>
    <w:r>
      <w:rPr>
        <w:rFonts w:ascii="Century" w:hAnsi="Century"/>
        <w:b/>
        <w:bCs/>
      </w:rPr>
      <w:t>MUNICÍPIO DE DOIS IRMÃOS</w:t>
    </w:r>
  </w:p>
  <w:p w14:paraId="3530E364" w14:textId="77777777" w:rsidR="00473CE3" w:rsidRDefault="0085330E">
    <w:pPr>
      <w:pStyle w:val="Cabealho"/>
      <w:jc w:val="center"/>
      <w:rPr>
        <w:rFonts w:ascii="Century" w:hAnsi="Century" w:hint="eastAsia"/>
      </w:rPr>
    </w:pPr>
    <w:r>
      <w:rPr>
        <w:rFonts w:ascii="Century" w:hAnsi="Century"/>
      </w:rPr>
      <w:t>GABINETE DO PREFEITO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452E"/>
    <w:multiLevelType w:val="multilevel"/>
    <w:tmpl w:val="6824B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831414"/>
    <w:multiLevelType w:val="multilevel"/>
    <w:tmpl w:val="FAEAAF36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79867838">
    <w:abstractNumId w:val="1"/>
  </w:num>
  <w:num w:numId="2" w16cid:durableId="154313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E3"/>
    <w:rsid w:val="00473CE3"/>
    <w:rsid w:val="0085330E"/>
    <w:rsid w:val="00860F48"/>
    <w:rsid w:val="00D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3FF9"/>
  <w15:docId w15:val="{7B39B494-85D3-4E7D-AFCA-A330EB9D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color w:val="000000"/>
    </w:rPr>
  </w:style>
  <w:style w:type="paragraph" w:styleId="Ttulo1">
    <w:name w:val="heading 1"/>
    <w:basedOn w:val="Ttulo"/>
    <w:uiPriority w:val="9"/>
    <w:qFormat/>
    <w:pPr>
      <w:numPr>
        <w:numId w:val="1"/>
      </w:numPr>
      <w:outlineLvl w:val="0"/>
    </w:pPr>
  </w:style>
  <w:style w:type="paragraph" w:styleId="Ttulo2">
    <w:name w:val="heading 2"/>
    <w:basedOn w:val="Ttulo"/>
    <w:uiPriority w:val="9"/>
    <w:semiHidden/>
    <w:unhideWhenUsed/>
    <w:qFormat/>
    <w:pPr>
      <w:numPr>
        <w:ilvl w:val="1"/>
        <w:numId w:val="1"/>
      </w:numPr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TextosemFormataoChar">
    <w:name w:val="Texto sem Formatação Char"/>
    <w:qFormat/>
    <w:rPr>
      <w:rFonts w:ascii="Consolas" w:eastAsia="Times New Roman" w:hAnsi="Consolas" w:cs="Consolas"/>
      <w:sz w:val="21"/>
      <w:szCs w:val="21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cuodecorpodetextoChar">
    <w:name w:val="Recuo de corpo de texto Char"/>
    <w:qFormat/>
    <w:rPr>
      <w:rFonts w:ascii="Arial" w:eastAsia="Times New Roman" w:hAnsi="Arial" w:cs="Arial"/>
      <w:sz w:val="20"/>
      <w:szCs w:val="20"/>
    </w:rPr>
  </w:style>
  <w:style w:type="character" w:customStyle="1" w:styleId="Corpodetexto2Char">
    <w:name w:val="Corpo de texto 2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Noto Serif" w:eastAsia="Noto Serif" w:hAnsi="Noto Serif" w:cs="Noto Serif"/>
      <w:b w:val="0"/>
      <w:bCs w:val="0"/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eastAsia="Courier New" w:hAnsi="Courier New" w:cs="Courier New"/>
      <w:sz w:val="20"/>
    </w:rPr>
  </w:style>
  <w:style w:type="character" w:customStyle="1" w:styleId="WW8Num5z1">
    <w:name w:val="WW8Num5z1"/>
    <w:qFormat/>
    <w:rPr>
      <w:rFonts w:ascii="Courier New" w:eastAsia="Courier New" w:hAnsi="Courier New" w:cs="Courier New"/>
      <w:sz w:val="20"/>
    </w:rPr>
  </w:style>
  <w:style w:type="character" w:customStyle="1" w:styleId="WW8Num6z1">
    <w:name w:val="WW8Num6z1"/>
    <w:qFormat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qFormat/>
    <w:rPr>
      <w:rFonts w:ascii="Courier New" w:eastAsia="Courier New" w:hAnsi="Courier New" w:cs="Courier New"/>
      <w:sz w:val="20"/>
    </w:rPr>
  </w:style>
  <w:style w:type="character" w:customStyle="1" w:styleId="WW8Num8z1">
    <w:name w:val="WW8Num8z1"/>
    <w:qFormat/>
    <w:rPr>
      <w:rFonts w:ascii="Courier New" w:eastAsia="Courier New" w:hAnsi="Courier New" w:cs="Courier New"/>
      <w:sz w:val="20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szCs w:val="20"/>
    </w:rPr>
  </w:style>
  <w:style w:type="character" w:customStyle="1" w:styleId="RecuodecorpodetextoChar1">
    <w:name w:val="Recuo de corpo de texto Char1"/>
    <w:basedOn w:val="Fontepargpadro"/>
    <w:qFormat/>
    <w:rPr>
      <w:rFonts w:ascii="Times New Roman" w:eastAsia="Times New Roman" w:hAnsi="Times New Roman" w:cs="Times New Roman"/>
      <w:kern w:val="0"/>
      <w:lang w:bidi="ar-SA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283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color w:val="00000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19" w:line="100" w:lineRule="atLeast"/>
    </w:pPr>
    <w:rPr>
      <w:rFonts w:eastAsia="Times New Roman" w:cs="Times New Roman"/>
    </w:rPr>
  </w:style>
  <w:style w:type="paragraph" w:customStyle="1" w:styleId="western">
    <w:name w:val="western"/>
    <w:basedOn w:val="Normal"/>
    <w:qFormat/>
    <w:pPr>
      <w:spacing w:before="280" w:after="280"/>
    </w:pPr>
  </w:style>
  <w:style w:type="paragraph" w:customStyle="1" w:styleId="Padro">
    <w:name w:val="Padrão"/>
    <w:qFormat/>
    <w:pPr>
      <w:widowControl w:val="0"/>
      <w:tabs>
        <w:tab w:val="left" w:pos="709"/>
      </w:tabs>
      <w:spacing w:line="100" w:lineRule="atLeast"/>
    </w:pPr>
    <w:rPr>
      <w:rFonts w:ascii="Times New Roman" w:eastAsia="Lucida Sans Unicode" w:hAnsi="Times New Roman" w:cs="Times New Roman"/>
      <w:color w:val="00000A"/>
      <w:lang w:eastAsia="hi-IN" w:bidi="pt-BR"/>
    </w:rPr>
  </w:style>
  <w:style w:type="paragraph" w:customStyle="1" w:styleId="Textoprformatado">
    <w:name w:val="Texto préformatado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styleId="Recuodecorpodetexto">
    <w:name w:val="Body Text Indent"/>
    <w:basedOn w:val="LO-Normal"/>
    <w:qFormat/>
    <w:pPr>
      <w:spacing w:after="120"/>
      <w:ind w:left="283"/>
    </w:pPr>
    <w:rPr>
      <w:rFonts w:ascii="Times New Roman" w:eastAsia="Times New Roman" w:hAnsi="Times New Roman" w:cs="Times New Roman"/>
      <w:kern w:val="0"/>
      <w:lang w:bidi="ar-SA"/>
    </w:rPr>
  </w:style>
  <w:style w:type="paragraph" w:styleId="TextosemFormatao">
    <w:name w:val="Plain Text"/>
    <w:basedOn w:val="Normal"/>
    <w:qFormat/>
    <w:rPr>
      <w:rFonts w:ascii="Consolas" w:eastAsia="Times New Roman" w:hAnsi="Consolas" w:cs="Consolas"/>
      <w:sz w:val="21"/>
      <w:szCs w:val="21"/>
      <w:lang w:eastAsia="ar-SA"/>
    </w:rPr>
  </w:style>
  <w:style w:type="paragraph" w:styleId="Corpodetexto2">
    <w:name w:val="Body Text 2"/>
    <w:basedOn w:val="Normal"/>
    <w:qFormat/>
    <w:pPr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Standard">
    <w:name w:val="Standard"/>
    <w:qFormat/>
    <w:rPr>
      <w:rFonts w:ascii="Times New Roman" w:eastAsia="Liberation Serif" w:hAnsi="Times New Roman" w:cs="Liberation Serif"/>
      <w:color w:val="000000"/>
      <w:lang w:eastAsia="hi-IN"/>
    </w:rPr>
  </w:style>
  <w:style w:type="paragraph" w:styleId="PargrafodaLista">
    <w:name w:val="List Paragraph"/>
    <w:basedOn w:val="Normal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1926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Birk</dc:creator>
  <dc:description/>
  <cp:lastModifiedBy>Daniel Rodrigues</cp:lastModifiedBy>
  <cp:revision>19</cp:revision>
  <cp:lastPrinted>2026-08-06T13:36:00Z</cp:lastPrinted>
  <dcterms:created xsi:type="dcterms:W3CDTF">2026-01-29T12:49:00Z</dcterms:created>
  <dcterms:modified xsi:type="dcterms:W3CDTF">2026-08-06T13:47:00Z</dcterms:modified>
  <dc:language>pt-BR</dc:language>
</cp:coreProperties>
</file>