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true"/>
        <w:tabs>
          <w:tab w:val="clear" w:pos="709"/>
          <w:tab w:val="left" w:pos="0" w:leader="none"/>
          <w:tab w:val="left" w:pos="720" w:leader="none"/>
        </w:tabs>
        <w:suppressAutoHyphens w:val="true"/>
        <w:spacing w:lineRule="auto" w:line="360" w:before="240" w:after="60"/>
        <w:ind w:left="0" w:right="0" w:hanging="0"/>
        <w:jc w:val="center"/>
        <w:rPr>
          <w:sz w:val="20"/>
          <w:szCs w:val="20"/>
        </w:rPr>
      </w:pPr>
      <w:r>
        <w:rPr>
          <w:rFonts w:eastAsia="Liberation Serif" w:cs="Liberation Serif" w:ascii="Noto Serif" w:hAnsi="Noto Serif"/>
          <w:b/>
          <w:color w:val="000000"/>
          <w:spacing w:val="0"/>
          <w:sz w:val="20"/>
          <w:szCs w:val="20"/>
          <w:shd w:fill="auto" w:val="clear"/>
        </w:rPr>
        <w:t>PROJETO DE LEI Nº 091/2021</w:t>
      </w:r>
    </w:p>
    <w:p>
      <w:pPr>
        <w:pStyle w:val="Normal"/>
        <w:spacing w:lineRule="auto" w:line="360" w:before="0" w:after="0"/>
        <w:ind w:left="0" w:right="0" w:hanging="0"/>
        <w:jc w:val="both"/>
        <w:rPr>
          <w:rFonts w:ascii="Noto Serif" w:hAnsi="Noto Serif" w:eastAsia="Liberation Serif" w:cs="Liberation Serif"/>
          <w:color w:val="auto"/>
          <w:spacing w:val="0"/>
          <w:sz w:val="12"/>
          <w:szCs w:val="12"/>
        </w:rPr>
      </w:pPr>
      <w:r>
        <w:rPr>
          <w:rFonts w:eastAsia="Liberation Serif" w:cs="Liberation Serif" w:ascii="Noto Serif" w:hAnsi="Noto Serif"/>
          <w:color w:val="auto"/>
          <w:spacing w:val="0"/>
          <w:sz w:val="12"/>
          <w:szCs w:val="12"/>
        </w:rPr>
      </w:r>
    </w:p>
    <w:tbl>
      <w:tblPr>
        <w:tblW w:w="9869" w:type="dxa"/>
        <w:jc w:val="left"/>
        <w:tblInd w:w="0" w:type="dxa"/>
        <w:tblLayout w:type="fixed"/>
        <w:tblCellMar>
          <w:top w:w="0" w:type="dxa"/>
          <w:left w:w="108" w:type="dxa"/>
          <w:bottom w:w="0" w:type="dxa"/>
          <w:right w:w="108" w:type="dxa"/>
        </w:tblCellMar>
      </w:tblPr>
      <w:tblGrid>
        <w:gridCol w:w="3000"/>
        <w:gridCol w:w="6868"/>
      </w:tblGrid>
      <w:tr>
        <w:trPr>
          <w:trHeight w:val="1" w:hRule="atLeast"/>
        </w:trPr>
        <w:tc>
          <w:tcPr>
            <w:tcW w:w="3000" w:type="dxa"/>
            <w:tcBorders>
              <w:top w:val="single" w:sz="6" w:space="0" w:color="000000"/>
              <w:left w:val="single" w:sz="6" w:space="0" w:color="000000"/>
              <w:bottom w:val="single" w:sz="6" w:space="0" w:color="000000"/>
              <w:right w:val="single" w:sz="6" w:space="0" w:color="000000"/>
            </w:tcBorders>
            <w:shd w:fill="auto" w:val="clear"/>
          </w:tcPr>
          <w:p>
            <w:pPr>
              <w:pStyle w:val="Normal"/>
              <w:widowControl w:val="false"/>
              <w:spacing w:lineRule="auto" w:line="360" w:before="0" w:after="0"/>
              <w:ind w:left="0" w:right="0" w:hanging="0"/>
              <w:jc w:val="both"/>
              <w:rPr>
                <w:rFonts w:ascii="Noto Serif" w:hAnsi="Noto Serif" w:eastAsia="Calibri" w:cs="Calibri"/>
                <w:color w:val="auto"/>
                <w:spacing w:val="0"/>
                <w:sz w:val="22"/>
                <w:szCs w:val="22"/>
              </w:rPr>
            </w:pPr>
            <w:r>
              <w:rPr>
                <w:rFonts w:eastAsia="Calibri" w:cs="Calibri" w:ascii="Noto Serif" w:hAnsi="Noto Serif"/>
                <w:color w:val="auto"/>
                <w:spacing w:val="0"/>
                <w:sz w:val="22"/>
                <w:szCs w:val="22"/>
              </w:rPr>
            </w:r>
          </w:p>
        </w:tc>
        <w:tc>
          <w:tcPr>
            <w:tcW w:w="6868" w:type="dxa"/>
            <w:tcBorders>
              <w:top w:val="single" w:sz="6" w:space="0" w:color="000000"/>
              <w:left w:val="single" w:sz="6" w:space="0" w:color="000000"/>
              <w:bottom w:val="single" w:sz="6" w:space="0" w:color="000000"/>
              <w:right w:val="single" w:sz="6" w:space="0" w:color="000000"/>
            </w:tcBorders>
            <w:shd w:fill="auto" w:val="clear"/>
          </w:tcPr>
          <w:p>
            <w:pPr>
              <w:pStyle w:val="Normal"/>
              <w:widowControl w:val="false"/>
              <w:spacing w:lineRule="auto" w:line="360" w:before="0" w:after="0"/>
              <w:ind w:left="0" w:right="0" w:hanging="0"/>
              <w:jc w:val="both"/>
              <w:rPr>
                <w:rFonts w:ascii="Noto Serif" w:hAnsi="Noto Serif"/>
                <w:color w:val="000000"/>
                <w:spacing w:val="0"/>
                <w:sz w:val="20"/>
                <w:szCs w:val="20"/>
              </w:rPr>
            </w:pPr>
            <w:r>
              <w:rPr>
                <w:rFonts w:eastAsia="Liberation Serif" w:cs="Liberation Serif" w:ascii="Noto Serif" w:hAnsi="Noto Serif"/>
                <w:b/>
                <w:color w:val="000000"/>
                <w:spacing w:val="0"/>
                <w:sz w:val="20"/>
                <w:szCs w:val="20"/>
                <w:shd w:fill="auto" w:val="clear"/>
              </w:rPr>
              <w:t>“</w:t>
            </w:r>
            <w:r>
              <w:rPr>
                <w:rFonts w:eastAsia="Liberation Serif" w:cs="Liberation Serif" w:ascii="Noto Serif" w:hAnsi="Noto Serif"/>
                <w:b/>
                <w:color w:val="000000"/>
                <w:spacing w:val="0"/>
                <w:sz w:val="20"/>
                <w:szCs w:val="20"/>
                <w:shd w:fill="auto" w:val="clear"/>
              </w:rPr>
              <w:t>DISPÕE SOBRE O REGIME DE PREVIDÊNCIA COMPLEMENTAR – RPC NO ÂMBITO DO MUNICÍPIO DE DOIS IRMÃOS E DÁ OUTRAS PROVIDÊNCIAS.”</w:t>
            </w:r>
          </w:p>
        </w:tc>
      </w:tr>
    </w:tbl>
    <w:p>
      <w:pPr>
        <w:pStyle w:val="Normal"/>
        <w:widowControl/>
        <w:tabs>
          <w:tab w:val="clear" w:pos="709"/>
          <w:tab w:val="left" w:pos="0" w:leader="none"/>
        </w:tabs>
        <w:suppressAutoHyphens w:val="true"/>
        <w:bidi w:val="0"/>
        <w:spacing w:lineRule="auto" w:line="360" w:before="0" w:after="0"/>
        <w:ind w:left="0" w:right="0" w:hanging="0"/>
        <w:jc w:val="both"/>
        <w:rPr>
          <w:rFonts w:ascii="Noto Serif" w:hAnsi="Noto Serif" w:eastAsia="Noto Serif" w:cs="Noto Serif"/>
          <w:b/>
          <w:b/>
          <w:bCs/>
          <w:color w:val="000000"/>
          <w:spacing w:val="0"/>
          <w:sz w:val="22"/>
          <w:szCs w:val="22"/>
          <w:shd w:fill="auto" w:val="clear"/>
        </w:rPr>
      </w:pPr>
      <w:r>
        <w:rPr/>
      </w:r>
    </w:p>
    <w:p>
      <w:pPr>
        <w:pStyle w:val="Normal"/>
        <w:widowControl/>
        <w:tabs>
          <w:tab w:val="clear" w:pos="709"/>
          <w:tab w:val="left" w:pos="0" w:leader="none"/>
        </w:tabs>
        <w:suppressAutoHyphens w:val="true"/>
        <w:bidi w:val="0"/>
        <w:spacing w:lineRule="auto" w:line="360" w:before="0" w:after="0"/>
        <w:ind w:left="0" w:right="0" w:hanging="0"/>
        <w:jc w:val="both"/>
        <w:rPr/>
      </w:pPr>
      <w:r>
        <w:rPr>
          <w:rFonts w:eastAsia="Noto Serif" w:cs="Noto Serif" w:ascii="Noto Serif" w:hAnsi="Noto Serif"/>
          <w:b/>
          <w:bCs/>
          <w:color w:val="000000"/>
          <w:spacing w:val="0"/>
          <w:sz w:val="22"/>
          <w:szCs w:val="22"/>
          <w:shd w:fill="auto" w:val="clear"/>
        </w:rPr>
        <w:tab/>
      </w:r>
      <w:r>
        <w:rPr>
          <w:rFonts w:eastAsia="Noto Serif" w:cs="Noto Serif" w:ascii="Noto Serif" w:hAnsi="Noto Serif"/>
          <w:b/>
          <w:bCs/>
          <w:color w:val="000000"/>
          <w:spacing w:val="0"/>
          <w:sz w:val="20"/>
          <w:szCs w:val="20"/>
          <w:shd w:fill="auto" w:val="clear"/>
        </w:rPr>
        <w:t xml:space="preserve">JERRI ADRIANI MENEGHETTI, </w:t>
      </w:r>
      <w:r>
        <w:rPr>
          <w:rFonts w:eastAsia="Noto Serif" w:cs="Noto Serif" w:ascii="Noto Serif" w:hAnsi="Noto Serif"/>
          <w:b w:val="false"/>
          <w:bCs w:val="false"/>
          <w:color w:val="000000"/>
          <w:spacing w:val="0"/>
          <w:sz w:val="20"/>
          <w:szCs w:val="20"/>
          <w:shd w:fill="auto" w:val="clear"/>
        </w:rPr>
        <w:t>Prefeito Municipal de Dois Irmãos</w:t>
      </w:r>
      <w:r>
        <w:rPr>
          <w:rFonts w:eastAsia="Noto Serif" w:cs="Noto Serif" w:ascii="Noto Serif" w:hAnsi="Noto Serif"/>
          <w:b/>
          <w:color w:val="000000"/>
          <w:spacing w:val="0"/>
          <w:sz w:val="20"/>
          <w:szCs w:val="20"/>
          <w:shd w:fill="auto" w:val="clear"/>
        </w:rPr>
        <w:t xml:space="preserve">, </w:t>
      </w:r>
      <w:r>
        <w:rPr>
          <w:rFonts w:eastAsia="Noto Serif" w:cs="Noto Serif" w:ascii="Noto Serif" w:hAnsi="Noto Serif"/>
          <w:b w:val="false"/>
          <w:bCs w:val="false"/>
          <w:color w:val="000000"/>
          <w:spacing w:val="0"/>
          <w:sz w:val="20"/>
          <w:szCs w:val="20"/>
          <w:shd w:fill="auto" w:val="clear"/>
        </w:rPr>
        <w:t>RS, no uso das atribuições que lhe são conferidas por Lei Orgânica do Município, faço saber que a Câmara Municipal aprova e eu sanciono a seguinte:</w:t>
      </w:r>
      <w:r>
        <w:rPr>
          <w:rFonts w:eastAsia="Arial" w:cs="Liberation Serif;Times New Roman" w:ascii="Noto Serif" w:hAnsi="Noto Serif"/>
          <w:b w:val="false"/>
          <w:bCs w:val="false"/>
          <w:color w:val="000000"/>
          <w:spacing w:val="0"/>
          <w:sz w:val="20"/>
          <w:szCs w:val="20"/>
          <w:shd w:fill="auto" w:val="clear"/>
        </w:rPr>
        <w:t xml:space="preserve"> </w:t>
      </w:r>
    </w:p>
    <w:p>
      <w:pPr>
        <w:pStyle w:val="Normal"/>
        <w:keepNext w:val="true"/>
        <w:spacing w:lineRule="auto" w:line="360" w:before="0" w:after="0"/>
        <w:ind w:left="0" w:right="0" w:hanging="0"/>
        <w:jc w:val="center"/>
        <w:rPr>
          <w:rFonts w:ascii="Noto Serif" w:hAnsi="Noto Serif" w:eastAsia="Arial" w:cs="Arial"/>
          <w:b/>
          <w:b/>
          <w:color w:val="auto"/>
          <w:spacing w:val="0"/>
          <w:sz w:val="12"/>
          <w:szCs w:val="12"/>
        </w:rPr>
      </w:pPr>
      <w:r>
        <w:rPr>
          <w:rFonts w:eastAsia="Arial" w:cs="Arial" w:ascii="Noto Serif" w:hAnsi="Noto Serif"/>
          <w:b/>
          <w:color w:val="auto"/>
          <w:spacing w:val="0"/>
          <w:sz w:val="12"/>
          <w:szCs w:val="12"/>
        </w:rPr>
      </w:r>
    </w:p>
    <w:p>
      <w:pPr>
        <w:pStyle w:val="Normal"/>
        <w:spacing w:lineRule="auto" w:line="360" w:before="0" w:after="0"/>
        <w:ind w:left="0" w:right="0" w:hanging="0"/>
        <w:jc w:val="center"/>
        <w:rPr/>
      </w:pPr>
      <w:r>
        <w:rPr>
          <w:rFonts w:eastAsia="Arial" w:cs="Arial" w:ascii="Noto Serif" w:hAnsi="Noto Serif"/>
          <w:b/>
          <w:color w:val="000000"/>
          <w:spacing w:val="0"/>
          <w:sz w:val="22"/>
          <w:szCs w:val="22"/>
          <w:shd w:fill="auto" w:val="clear"/>
        </w:rPr>
        <w:t>L E I</w:t>
      </w:r>
    </w:p>
    <w:p>
      <w:pPr>
        <w:pStyle w:val="Normal"/>
        <w:spacing w:lineRule="auto" w:line="360" w:before="0" w:after="0"/>
        <w:ind w:left="0" w:right="0" w:hanging="0"/>
        <w:jc w:val="center"/>
        <w:rPr>
          <w:rFonts w:ascii="Noto Serif" w:hAnsi="Noto Serif" w:eastAsia="Arial" w:cs="Arial"/>
          <w:b/>
          <w:b/>
          <w:color w:val="000000"/>
          <w:spacing w:val="0"/>
          <w:sz w:val="16"/>
          <w:szCs w:val="16"/>
          <w:shd w:fill="auto" w:val="clear"/>
        </w:rPr>
      </w:pPr>
      <w:r>
        <w:rPr>
          <w:rFonts w:eastAsia="Arial" w:cs="Arial" w:ascii="Noto Serif" w:hAnsi="Noto Serif"/>
          <w:b/>
          <w:color w:val="000000"/>
          <w:spacing w:val="0"/>
          <w:sz w:val="16"/>
          <w:szCs w:val="16"/>
          <w:shd w:fill="auto" w:val="clear"/>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CAPÍTULO I</w:t>
      </w:r>
    </w:p>
    <w:p>
      <w:pPr>
        <w:pStyle w:val="Normal"/>
        <w:spacing w:lineRule="auto" w:line="360" w:before="0" w:after="200"/>
        <w:ind w:left="0" w:right="-710" w:hanging="0"/>
        <w:jc w:val="center"/>
        <w:rPr/>
      </w:pPr>
      <w:r>
        <w:rPr>
          <w:rFonts w:eastAsia="Arial" w:cs="Arial" w:ascii="Noto Serif" w:hAnsi="Noto Serif"/>
          <w:b/>
          <w:color w:val="000000"/>
          <w:spacing w:val="0"/>
          <w:sz w:val="20"/>
          <w:szCs w:val="20"/>
          <w:shd w:fill="auto" w:val="clear"/>
        </w:rPr>
        <w:t>DO REGIME DE PREVIDÊNCIA COMPLEMENTAR</w:t>
      </w:r>
      <w:r>
        <w:rPr>
          <w:rFonts w:eastAsia="Arial" w:cs="Arial" w:ascii="Noto Serif" w:hAnsi="Noto Serif"/>
          <w:b/>
          <w:color w:val="000000"/>
          <w:spacing w:val="0"/>
          <w:sz w:val="22"/>
          <w:szCs w:val="22"/>
          <w:shd w:fill="auto" w:val="clear"/>
        </w:rPr>
        <w:t xml:space="preserve"> </w:t>
      </w:r>
    </w:p>
    <w:p>
      <w:pPr>
        <w:pStyle w:val="Normal"/>
        <w:spacing w:lineRule="auto" w:line="360" w:before="0" w:after="200"/>
        <w:ind w:left="0" w:right="-68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1º</w:t>
      </w:r>
      <w:r>
        <w:rPr>
          <w:rFonts w:eastAsia="Arial" w:cs="Arial" w:ascii="Noto Serif" w:hAnsi="Noto Serif"/>
          <w:color w:val="000000"/>
          <w:spacing w:val="0"/>
          <w:sz w:val="20"/>
          <w:szCs w:val="20"/>
          <w:shd w:fill="auto" w:val="clear"/>
        </w:rPr>
        <w:t xml:space="preserve"> Fica instituído, nos termos desta Lei, no âmbito do Município de Dois Irmãos, para os seus servidores públicos titulares de cargo efetivo, segurados do Regime Próprio de Previdência – RPPS, vinculados ao Poder Executivo e ao Poder Legislativo, o Regime de Previdência Complementar – RPC a que se referem os §§ 14, 15 e 16 do art. 40 e o art. 202 da Constituição Federal.</w:t>
      </w:r>
    </w:p>
    <w:p>
      <w:pPr>
        <w:pStyle w:val="Normal"/>
        <w:spacing w:lineRule="auto" w:line="360" w:before="0" w:after="200"/>
        <w:ind w:left="0" w:right="-68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xml:space="preserve"> O Regime de Previdência Complementar – RPC de que trata o </w:t>
      </w:r>
      <w:r>
        <w:rPr>
          <w:rFonts w:eastAsia="Arial" w:cs="Arial" w:ascii="Noto Serif" w:hAnsi="Noto Serif"/>
          <w:i/>
          <w:color w:val="000000"/>
          <w:spacing w:val="0"/>
          <w:sz w:val="20"/>
          <w:szCs w:val="20"/>
          <w:shd w:fill="auto" w:val="clear"/>
        </w:rPr>
        <w:t xml:space="preserve">caput </w:t>
      </w:r>
      <w:r>
        <w:rPr>
          <w:rFonts w:eastAsia="Arial" w:cs="Arial" w:ascii="Noto Serif" w:hAnsi="Noto Serif"/>
          <w:color w:val="000000"/>
          <w:spacing w:val="0"/>
          <w:sz w:val="20"/>
          <w:szCs w:val="20"/>
          <w:shd w:fill="auto" w:val="clear"/>
        </w:rPr>
        <w:t>é organizado de forma autônoma em relação ao Regime Próprio de Previdência – RPPS do Município, apresenta caráter facultativo e será oferecido por meio de adesão a plano de benefícios mantido por entidade de previdência complementar regularmente constituída e operando mediante autorização segundo as normas aprovadas pelo órgão regulador e fiscalizador, conforme a legislação aplicável.</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 xml:space="preserve">DOS CONCEITOS </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2º</w:t>
      </w:r>
      <w:r>
        <w:rPr>
          <w:rFonts w:eastAsia="Arial" w:cs="Arial" w:ascii="Noto Serif" w:hAnsi="Noto Serif"/>
          <w:color w:val="000000"/>
          <w:spacing w:val="0"/>
          <w:sz w:val="20"/>
          <w:szCs w:val="20"/>
          <w:shd w:fill="auto" w:val="clear"/>
        </w:rPr>
        <w:t xml:space="preserve"> Para os efeitos desta Lei, considera-se: </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I – Patrocinador: o Município, compreendendo o Poder Executivo e o Poder Legislativo; </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Participante: o servidor público titular de cargo efetivo, segurado do Regime Próprio de Previdência – RPPS do Município, vinculado ao Poder Executivo e ao Poder Legislativo, que aderir ao plano de benefícios de que trata esta Lei;</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III – Assistido: o participante, ou o seu beneficiário, em gozo de benefício de prestação continuada; </w:t>
      </w:r>
      <w:r>
        <w:rPr>
          <w:rFonts w:eastAsia="Arial" w:cs="Arial" w:ascii="Noto Serif" w:hAnsi="Noto Serif"/>
          <w:color w:val="000000"/>
          <w:spacing w:val="0"/>
          <w:sz w:val="20"/>
          <w:szCs w:val="20"/>
          <w:shd w:fill="auto" w:val="clear"/>
        </w:rPr>
        <w:t>e</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IV – Remuneração: é o vencimento do cargo efetivo, conforme fixado em lei, acrescido das parcelas pecuniárias incorporadas, excluídas aquelas de natureza indenizatória.</w:t>
      </w:r>
    </w:p>
    <w:p>
      <w:pPr>
        <w:pStyle w:val="Normal"/>
        <w:spacing w:lineRule="auto" w:line="360" w:before="0" w:after="0"/>
        <w:ind w:left="0" w:right="0" w:hanging="0"/>
        <w:jc w:val="both"/>
        <w:rPr>
          <w:rFonts w:ascii="Noto Serif" w:hAnsi="Noto Serif" w:eastAsia="Arial" w:cs="Arial"/>
          <w:color w:val="000000"/>
          <w:spacing w:val="0"/>
          <w:sz w:val="16"/>
          <w:szCs w:val="16"/>
          <w:shd w:fill="auto" w:val="clear"/>
        </w:rPr>
      </w:pPr>
      <w:r>
        <w:rPr>
          <w:rFonts w:eastAsia="Arial" w:cs="Arial" w:ascii="Noto Serif" w:hAnsi="Noto Serif"/>
          <w:color w:val="000000"/>
          <w:spacing w:val="0"/>
          <w:sz w:val="16"/>
          <w:szCs w:val="16"/>
          <w:shd w:fill="auto" w:val="clear"/>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DA APLICAÇÃO DO LIMITE MÁXIMO ESTABELECIDO PARA OS BENEFÍCIOS DO REGIME GERAL DE PREVIDÊNCIA SOCIAL – RGPS</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3º</w:t>
      </w:r>
      <w:r>
        <w:rPr>
          <w:rFonts w:eastAsia="Arial" w:cs="Arial" w:ascii="Noto Serif" w:hAnsi="Noto Serif"/>
          <w:color w:val="000000"/>
          <w:spacing w:val="0"/>
          <w:sz w:val="20"/>
          <w:szCs w:val="20"/>
          <w:shd w:fill="auto" w:val="clear"/>
        </w:rPr>
        <w:t xml:space="preserve"> Aplica-se o limite máximo estabelecido para os benefícios do Regime Geral de Previdência Social – RGPS, de que trata o art. 201 da Constituição Federal, às aposentadorias e às pensões a serem concedidas pelo Regime Próprio de Previdência Social – RPPS do Município aos servidores públicos titulares de cargo efetivo dele segurados e a seus dependentes que tenham ingressado no serviço público: </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 – a partir da vigência do Regime de Previdência Complementar – RPC de que trata esta Lei, independentemente de sua adesão ao plano de benefícios; e</w:t>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II – até a vigência do Regime de Previdência Complementar – RPC de que trata esta Lei, desde que, mediante prévia e expressa opção, adiram ao plano de benefícios.</w:t>
      </w:r>
    </w:p>
    <w:p>
      <w:pPr>
        <w:pStyle w:val="Normal"/>
        <w:tabs>
          <w:tab w:val="clear" w:pos="709"/>
          <w:tab w:val="left" w:pos="720" w:leader="none"/>
          <w:tab w:val="left" w:pos="1701" w:leader="none"/>
        </w:tabs>
        <w:spacing w:lineRule="auto" w:line="360" w:before="0" w:after="0"/>
        <w:ind w:left="0" w:right="0" w:hanging="0"/>
        <w:jc w:val="both"/>
        <w:rPr>
          <w:rFonts w:ascii="Noto Serif" w:hAnsi="Noto Serif" w:eastAsia="Arial" w:cs="Arial"/>
          <w:color w:val="auto"/>
          <w:spacing w:val="0"/>
          <w:sz w:val="12"/>
          <w:szCs w:val="12"/>
          <w:highlight w:val="white"/>
        </w:rPr>
      </w:pPr>
      <w:r>
        <w:rPr>
          <w:rFonts w:eastAsia="Arial" w:cs="Arial" w:ascii="Noto Serif" w:hAnsi="Noto Serif"/>
          <w:color w:val="auto"/>
          <w:spacing w:val="0"/>
          <w:sz w:val="12"/>
          <w:szCs w:val="12"/>
          <w:highlight w:val="white"/>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IV</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DA VIGÊNCIA DO REGIME DE PREVIDÊNCIA COMPLEMENTAR – RPC</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 xml:space="preserve">Art. 4º </w:t>
      </w:r>
      <w:r>
        <w:rPr>
          <w:rFonts w:eastAsia="Arial" w:cs="Arial" w:ascii="Noto Serif" w:hAnsi="Noto Serif"/>
          <w:color w:val="000000"/>
          <w:spacing w:val="0"/>
          <w:sz w:val="20"/>
          <w:szCs w:val="20"/>
          <w:shd w:fill="auto" w:val="clear"/>
        </w:rPr>
        <w:t>O Regime de Previdência Complementar – RPC de que trata esta Lei terá vigência:</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 – a partir da data de publicação da autorização, pelo órgão regulador e fiscalizador estabelecido na legislação federal pertinente, do convênio de adesão do patrocinador ao plano de benefícios administrado por entidade fechada de previdência complementar; ou</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a partir da vigência convencionada no convênio de adesão firmado com a entidade aberta de previdência complementar.</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V</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DA FILIAÇÃO DOS SERVIDORES AO REGIME DE PREVIDÊNCIA COMPLEMENTAR – RPC E DA INSCRIÇÃO NO PLANO DE BENEFÍCIOS</w:t>
      </w:r>
    </w:p>
    <w:p>
      <w:pPr>
        <w:pStyle w:val="Normal"/>
        <w:spacing w:lineRule="auto" w:line="360" w:before="0" w:after="0"/>
        <w:ind w:left="0" w:right="0" w:hanging="0"/>
        <w:jc w:val="center"/>
        <w:rPr>
          <w:rFonts w:ascii="Noto Serif" w:hAnsi="Noto Serif" w:eastAsia="Arial" w:cs="Arial"/>
          <w:b/>
          <w:b/>
          <w:color w:val="000000"/>
          <w:spacing w:val="0"/>
          <w:sz w:val="12"/>
          <w:szCs w:val="12"/>
          <w:shd w:fill="auto" w:val="clear"/>
        </w:rPr>
      </w:pPr>
      <w:r>
        <w:rPr>
          <w:rFonts w:eastAsia="Arial" w:cs="Arial" w:ascii="Noto Serif" w:hAnsi="Noto Serif"/>
          <w:b/>
          <w:color w:val="000000"/>
          <w:spacing w:val="0"/>
          <w:sz w:val="12"/>
          <w:szCs w:val="12"/>
          <w:shd w:fill="auto" w:val="clear"/>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Subseção 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 SERVIDOR QUE VIER A INGRESSAR NO SERVIÇO PÚBLICO A PARTIR DA VIGÊNCIA DO REGIME DE PREVIDÊNCIA COMPLEMENTAR – RPC</w:t>
      </w:r>
    </w:p>
    <w:p>
      <w:pPr>
        <w:pStyle w:val="Normal"/>
        <w:tabs>
          <w:tab w:val="clear" w:pos="709"/>
          <w:tab w:val="left" w:pos="720" w:leader="none"/>
          <w:tab w:val="left" w:pos="1701" w:leader="none"/>
        </w:tabs>
        <w:spacing w:lineRule="auto" w:line="360" w:before="120" w:after="120"/>
        <w:ind w:left="0" w:right="0" w:hanging="0"/>
        <w:jc w:val="both"/>
        <w:rPr>
          <w:rFonts w:ascii="Noto Serif" w:hAnsi="Noto Serif" w:eastAsia="Times New Roman" w:cs="Times New Roman"/>
          <w:color w:val="auto"/>
          <w:spacing w:val="0"/>
          <w:sz w:val="12"/>
          <w:szCs w:val="12"/>
        </w:rPr>
      </w:pPr>
      <w:r>
        <w:rPr>
          <w:rFonts w:eastAsia="Times New Roman" w:cs="Times New Roman"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 xml:space="preserve">Art. 5º </w:t>
      </w:r>
      <w:r>
        <w:rPr>
          <w:rFonts w:eastAsia="Arial" w:cs="Arial" w:ascii="Noto Serif" w:hAnsi="Noto Serif"/>
          <w:color w:val="000000"/>
          <w:spacing w:val="0"/>
          <w:sz w:val="20"/>
          <w:szCs w:val="20"/>
          <w:shd w:fill="auto" w:val="clear"/>
        </w:rPr>
        <w:t>O servidor titular de cargo efetivo que vier a ingressar no serviço público a partir da vigência do Regime de Previdência Complementar – RPC será a ele filiado mediante inscrição automática no plano de benefícios: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 – a partir da entrada em exercício no cargo, na hipótese da sua remuneração ser superior ao limite máximo estabelecido para os benefícios do Regime Geral de Previdência Social – RGPS; ou</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a partir da competência em que sua remuneração exceder ao limite máximo estabelecido para os benefícios do Regime Geral de Previdência Social – RGPS.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1º É facultado ao servidor referido no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manifestar a ausência de interesse em ser inscrito no plano de benefícios, sendo sua inércia, transcorridos 15 (quinze)</w:t>
      </w:r>
      <w:r>
        <w:rPr>
          <w:rFonts w:eastAsia="Arial" w:cs="Arial" w:ascii="Noto Serif" w:hAnsi="Noto Serif"/>
          <w:b w:val="false"/>
          <w:bCs w:val="false"/>
          <w:color w:val="000000"/>
          <w:spacing w:val="0"/>
          <w:sz w:val="20"/>
          <w:szCs w:val="20"/>
          <w:shd w:fill="auto" w:val="clear"/>
        </w:rPr>
        <w:t xml:space="preserve"> </w:t>
      </w:r>
      <w:r>
        <w:rPr>
          <w:rFonts w:eastAsia="Arial" w:cs="Arial" w:ascii="Noto Serif" w:hAnsi="Noto Serif"/>
          <w:color w:val="000000"/>
          <w:spacing w:val="0"/>
          <w:sz w:val="20"/>
          <w:szCs w:val="20"/>
          <w:shd w:fill="auto" w:val="clear"/>
        </w:rPr>
        <w:t>dias após sua inscrição automática, reconhecida como aceitação tácita.</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2º Havendo a manifestação da ausência de interesse, na forma e prazo do § 1º, fica assegurado o direito à restituição integral do valor das contribuições vertidas pelo participante e pelo patrocinador, no prazo de 30 (trinta) dias, atualizado conforme o regulamento.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3º A hipótese do § 2º não constitui resgate.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4º Fica assegurado ao participante o direito de requerer, a qualquer tempo, o cancelamento da sua inscrição, nos termos do regulamento do plano de benefícios.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5º Após o decurso do prazo previsto no § 1º, o cancelamento da inscrição constituirá resgate, nos termos do regulamento.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Subseção 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 xml:space="preserve">DO SERVIDOR QUE TENHA INGRESSADO NO SERVIÇO PÚBLICO ATÉ A DATA ANTERIOR À VIGÊNCIA DO REGIME DE PREVIDÊNCIA COMPLEMENTAR – RPC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6º</w:t>
      </w:r>
      <w:r>
        <w:rPr>
          <w:rFonts w:eastAsia="Arial" w:cs="Arial" w:ascii="Noto Serif" w:hAnsi="Noto Serif"/>
          <w:color w:val="000000"/>
          <w:spacing w:val="0"/>
          <w:sz w:val="20"/>
          <w:szCs w:val="20"/>
          <w:shd w:fill="auto" w:val="clear"/>
        </w:rPr>
        <w:t xml:space="preserve"> O servidor titular de cargo efetivo que tenha ingressado no serviço público até a data anterior à vigência do Regime de Previdência Complementar – RPC poderá a ele se filiar mediante prévia e expressa opção pela adesão ao plano de benefícios: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 – a qualquer prazo, contado da data da vigência do Regime de Previdência Complementar – RPC, limitado até 120 (cento e vinte) dias, contados da publicação da Lei referida no art. 25 desta Lei, exceto se outra data nessa constar, na hipótese da sua remuneração ser superior ao limite máximo estabelecido para os benefícios do Regime Geral de Previdência Social – RGPS; ou</w:t>
      </w:r>
    </w:p>
    <w:p>
      <w:pPr>
        <w:pStyle w:val="Normal"/>
        <w:spacing w:lineRule="auto" w:line="360" w:before="0" w:after="0"/>
        <w:ind w:left="0" w:right="0" w:firstLine="1418"/>
        <w:jc w:val="both"/>
        <w:rPr>
          <w:rFonts w:ascii="Noto Serif" w:hAnsi="Noto Serif" w:eastAsia="Arial" w:cs="Arial"/>
          <w:color w:val="auto"/>
          <w:spacing w:val="0"/>
          <w:sz w:val="18"/>
          <w:szCs w:val="18"/>
        </w:rPr>
      </w:pPr>
      <w:r>
        <w:rPr>
          <w:rFonts w:eastAsia="Arial" w:cs="Arial" w:ascii="Noto Serif" w:hAnsi="Noto Serif"/>
          <w:color w:val="auto"/>
          <w:spacing w:val="0"/>
          <w:sz w:val="18"/>
          <w:szCs w:val="18"/>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II – no prazo de </w:t>
      </w:r>
      <w:r>
        <w:rPr>
          <w:rFonts w:eastAsia="Arial" w:cs="Arial" w:ascii="Noto Serif" w:hAnsi="Noto Serif"/>
          <w:b w:val="false"/>
          <w:bCs w:val="false"/>
          <w:color w:val="000000"/>
          <w:spacing w:val="0"/>
          <w:sz w:val="20"/>
          <w:szCs w:val="20"/>
          <w:shd w:fill="auto" w:val="clear"/>
        </w:rPr>
        <w:t>60 (sessenta)</w:t>
      </w:r>
      <w:r>
        <w:rPr>
          <w:rFonts w:eastAsia="Arial" w:cs="Arial" w:ascii="Noto Serif" w:hAnsi="Noto Serif"/>
          <w:color w:val="000000"/>
          <w:spacing w:val="0"/>
          <w:sz w:val="20"/>
          <w:szCs w:val="20"/>
          <w:shd w:fill="auto" w:val="clear"/>
        </w:rPr>
        <w:t xml:space="preserve"> dias, contado do primeiro dia da competência subsequente àquele em que sua remuneração exceder ao limite máximo estabelecido para os benefícios do Regime Geral de Previdência Social – RGPS.</w:t>
      </w:r>
    </w:p>
    <w:p>
      <w:pPr>
        <w:pStyle w:val="Normal"/>
        <w:spacing w:lineRule="auto" w:line="360" w:before="0" w:after="0"/>
        <w:ind w:left="0" w:right="0" w:firstLine="1418"/>
        <w:jc w:val="both"/>
        <w:rPr>
          <w:rFonts w:ascii="Noto Serif" w:hAnsi="Noto Serif" w:eastAsia="Arial" w:cs="Arial"/>
          <w:color w:val="auto"/>
          <w:spacing w:val="0"/>
          <w:sz w:val="18"/>
          <w:szCs w:val="18"/>
        </w:rPr>
      </w:pPr>
      <w:r>
        <w:rPr>
          <w:rFonts w:eastAsia="Arial" w:cs="Arial" w:ascii="Noto Serif" w:hAnsi="Noto Serif"/>
          <w:color w:val="auto"/>
          <w:spacing w:val="0"/>
          <w:sz w:val="18"/>
          <w:szCs w:val="18"/>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1º O exercício da opção pela filiação ao Regime de Previdência Complementar – RPC, conforme 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e na forma dos incisos I e II:</w:t>
      </w:r>
    </w:p>
    <w:p>
      <w:pPr>
        <w:pStyle w:val="Normal"/>
        <w:spacing w:lineRule="auto" w:line="360" w:before="0" w:after="0"/>
        <w:ind w:left="0" w:right="0" w:hanging="0"/>
        <w:jc w:val="both"/>
        <w:rPr>
          <w:rFonts w:ascii="Noto Serif" w:hAnsi="Noto Serif" w:eastAsia="Arial" w:cs="Arial"/>
          <w:color w:val="auto"/>
          <w:spacing w:val="0"/>
          <w:sz w:val="18"/>
          <w:szCs w:val="18"/>
        </w:rPr>
      </w:pPr>
      <w:r>
        <w:rPr>
          <w:rFonts w:eastAsia="Arial" w:cs="Arial" w:ascii="Noto Serif" w:hAnsi="Noto Serif"/>
          <w:color w:val="auto"/>
          <w:spacing w:val="0"/>
          <w:sz w:val="18"/>
          <w:szCs w:val="18"/>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 – é irrevogável e irretratável, não sendo devida pelo patrocinador qualquer restituição decorrente de eventual valor de contribuição previdenciária que tenha incidido sobre a parcela da remuneração de contribuição superior ao limite máximo estabelecido para os benefícios do Regime Geral de Previdência Social – RGPS, no período anterior à filiação ao Regime de Previdência Complementar – RPC.</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garante o direito à contrapartida do patrocinador; e</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III – sujeita os benefícios que forem concedidos pelo Regime Próprio de Previdência Social – RPPS do Município ao limite máximo estabelecido para os benefícios do Regime Geral de Previdência Social – RGPS, conforme disposto no art. 3º desta Lei, mesmo no caso de exercício do direito previsto no § 2º deste artigo.</w:t>
      </w:r>
    </w:p>
    <w:p>
      <w:pPr>
        <w:pStyle w:val="Normal"/>
        <w:spacing w:lineRule="auto" w:line="360" w:before="0" w:after="0"/>
        <w:ind w:left="0" w:right="0" w:firstLine="1418"/>
        <w:jc w:val="both"/>
        <w:rPr>
          <w:rFonts w:ascii="Noto Serif" w:hAnsi="Noto Serif" w:eastAsia="Arial" w:cs="Arial"/>
          <w:color w:val="auto"/>
          <w:spacing w:val="0"/>
          <w:sz w:val="18"/>
          <w:szCs w:val="18"/>
        </w:rPr>
      </w:pPr>
      <w:r>
        <w:rPr>
          <w:rFonts w:eastAsia="Arial" w:cs="Arial" w:ascii="Noto Serif" w:hAnsi="Noto Serif"/>
          <w:color w:val="auto"/>
          <w:spacing w:val="0"/>
          <w:sz w:val="18"/>
          <w:szCs w:val="18"/>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2º A previsão do inciso I do § 1º não prejudica o direito do participante requerer, a qualquer tempo, o cancelamento da sua inscrição, nos termos do regulamento do plano de benefícios, conforme previsto nos §§ 4º e 5º do art. 5º.</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Subseção III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 SERVIDOR COM REMUNERAÇÃO INFERIOR AO LIMITE MÁXIMO ESTABELECIDO PARA OS BENEFÍCIOS DO REGIME GERAL DE PREVIDÊNCIA SOCIAL – RGPS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 xml:space="preserve">Art. 7º </w:t>
      </w:r>
      <w:r>
        <w:rPr>
          <w:rFonts w:eastAsia="Arial" w:cs="Arial" w:ascii="Noto Serif" w:hAnsi="Noto Serif"/>
          <w:color w:val="000000"/>
          <w:spacing w:val="0"/>
          <w:sz w:val="20"/>
          <w:szCs w:val="20"/>
          <w:shd w:fill="auto" w:val="clear"/>
        </w:rPr>
        <w:t>Independentemente da sua data de ingresso no serviço público, o servidor titular de cargo efetivo com remuneração inferior ao limite máximo estabelecido para os benefícios do Regime Geral de Previdência Social – RGPS poderá a qualquer tempo se filiar ao Regime de Previdência Complementar – RPC de que trata esta Lei, mediante a adesão ao plano de benefícios, hipótese em que fica vedada a contrapartida do patrocinador.</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1º A base de cálculo para a contribuição do servidor sujeito às condições do </w:t>
      </w:r>
      <w:r>
        <w:rPr>
          <w:rFonts w:eastAsia="Arial" w:cs="Arial" w:ascii="Noto Serif" w:hAnsi="Noto Serif"/>
          <w:i/>
          <w:color w:val="000000"/>
          <w:spacing w:val="0"/>
          <w:sz w:val="20"/>
          <w:szCs w:val="20"/>
          <w:shd w:fill="auto" w:val="clear"/>
        </w:rPr>
        <w:t xml:space="preserve">caput </w:t>
      </w:r>
      <w:r>
        <w:rPr>
          <w:rFonts w:eastAsia="Arial" w:cs="Arial" w:ascii="Noto Serif" w:hAnsi="Noto Serif"/>
          <w:color w:val="000000"/>
          <w:spacing w:val="0"/>
          <w:sz w:val="20"/>
          <w:szCs w:val="20"/>
          <w:shd w:fill="auto" w:val="clear"/>
        </w:rPr>
        <w:t>será definida no regulamento.</w:t>
      </w:r>
    </w:p>
    <w:p>
      <w:pPr>
        <w:pStyle w:val="Normal"/>
        <w:spacing w:lineRule="auto" w:line="360" w:before="0" w:after="0"/>
        <w:ind w:left="0" w:right="0" w:hanging="0"/>
        <w:jc w:val="both"/>
        <w:rPr>
          <w:rFonts w:ascii="Noto Serif" w:hAnsi="Noto Serif" w:eastAsia="Arial" w:cs="Arial"/>
          <w:color w:val="000000"/>
          <w:spacing w:val="0"/>
          <w:sz w:val="12"/>
          <w:szCs w:val="12"/>
          <w:shd w:fill="auto" w:val="clear"/>
        </w:rPr>
      </w:pPr>
      <w:r>
        <w:rPr>
          <w:rFonts w:eastAsia="Arial" w:cs="Arial" w:ascii="Noto Serif" w:hAnsi="Noto Serif"/>
          <w:color w:val="000000"/>
          <w:spacing w:val="0"/>
          <w:sz w:val="12"/>
          <w:szCs w:val="12"/>
          <w:shd w:fill="auto" w:val="clear"/>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2º Acaso a remuneração do servidor de que trata este artigo vier a exceder ao limite máximo estabelecido para os benefícios do Regime Geral de Previdência Social – RGPS, aplicar-se-á o disposto no inciso II do art. 5º e no inciso II do art. 6º desta Lei, conforme o caso, assim como seus consectários.</w:t>
      </w:r>
    </w:p>
    <w:p>
      <w:pPr>
        <w:pStyle w:val="Normal"/>
        <w:spacing w:lineRule="auto" w:line="360" w:before="0" w:after="0"/>
        <w:ind w:left="0" w:right="0" w:hanging="0"/>
        <w:jc w:val="both"/>
        <w:rPr>
          <w:rFonts w:ascii="Noto Serif" w:hAnsi="Noto Serif" w:eastAsia="Arial" w:cs="Arial"/>
          <w:color w:val="000000"/>
          <w:spacing w:val="0"/>
          <w:sz w:val="12"/>
          <w:szCs w:val="12"/>
          <w:shd w:fill="auto" w:val="clear"/>
        </w:rPr>
      </w:pPr>
      <w:r>
        <w:rPr>
          <w:rFonts w:eastAsia="Arial" w:cs="Arial" w:ascii="Noto Serif" w:hAnsi="Noto Serif"/>
          <w:color w:val="000000"/>
          <w:spacing w:val="0"/>
          <w:sz w:val="12"/>
          <w:szCs w:val="12"/>
          <w:shd w:fill="auto" w:val="clear"/>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CAPÍTULO 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 PLANO DE BENEFÍCIOS</w:t>
      </w:r>
    </w:p>
    <w:p>
      <w:pPr>
        <w:pStyle w:val="Normal"/>
        <w:spacing w:lineRule="auto" w:line="360" w:before="0" w:after="0"/>
        <w:ind w:left="0" w:right="0" w:hanging="0"/>
        <w:jc w:val="center"/>
        <w:rPr>
          <w:rFonts w:ascii="Noto Serif" w:hAnsi="Noto Serif" w:eastAsia="Arial" w:cs="Arial"/>
          <w:b/>
          <w:b/>
          <w:color w:val="000000"/>
          <w:spacing w:val="0"/>
          <w:sz w:val="12"/>
          <w:szCs w:val="12"/>
          <w:shd w:fill="auto" w:val="clear"/>
        </w:rPr>
      </w:pPr>
      <w:r>
        <w:rPr>
          <w:rFonts w:eastAsia="Arial" w:cs="Arial" w:ascii="Noto Serif" w:hAnsi="Noto Serif"/>
          <w:b/>
          <w:color w:val="000000"/>
          <w:spacing w:val="0"/>
          <w:sz w:val="12"/>
          <w:szCs w:val="12"/>
          <w:shd w:fill="auto" w:val="clear"/>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DAS REGRAS GERAIS</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8º</w:t>
      </w:r>
      <w:r>
        <w:rPr>
          <w:rFonts w:eastAsia="Arial" w:cs="Arial" w:ascii="Noto Serif" w:hAnsi="Noto Serif"/>
          <w:color w:val="000000"/>
          <w:spacing w:val="0"/>
          <w:sz w:val="20"/>
          <w:szCs w:val="20"/>
          <w:shd w:fill="auto" w:val="clear"/>
        </w:rPr>
        <w:t xml:space="preserve"> Observada a legislação federal pertinente, o plano de benefícios deverá ser descrito em regulamento e oferecido, obrigatoriamente, nos termos desta Lei, a todos os servidores públicos titulares de cargo efetivo no Município, vinculados ao Poder Executivo e ao Poder Legislativo.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 xml:space="preserve">Art. 9º </w:t>
      </w:r>
      <w:r>
        <w:rPr>
          <w:rFonts w:eastAsia="Arial" w:cs="Arial" w:ascii="Noto Serif" w:hAnsi="Noto Serif"/>
          <w:color w:val="000000"/>
          <w:spacing w:val="0"/>
          <w:sz w:val="20"/>
          <w:szCs w:val="20"/>
          <w:shd w:fill="auto" w:val="clear"/>
        </w:rPr>
        <w:t>O plano de benefícios será estruturado na modalidade de contribuição definida, nos termos do § 15 do art. 40 da Constituição Federal.</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O financiamento do plano de benefícios seguirá o que for definido no plano de custeio, que estabelecerá os percentuais de contribuição necessários à constituição das reservas garantidoras dos benefícios, dos fundos e das provisões, e à cobertura das demais despesas administrativas, observada a legislação federal aplicável.</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10</w:t>
      </w:r>
      <w:r>
        <w:rPr>
          <w:rFonts w:eastAsia="Arial" w:cs="Arial" w:ascii="Noto Serif" w:hAnsi="Noto Serif"/>
          <w:color w:val="000000"/>
          <w:spacing w:val="0"/>
          <w:sz w:val="20"/>
          <w:szCs w:val="20"/>
          <w:shd w:fill="auto" w:val="clear"/>
        </w:rPr>
        <w:t>. Os requisitos para aquisição, manutenção e perda da qualidade de participante e de assistido, assim como os requisitos de elegibilidade e a forma de concessão, cálculo e pagamento dos benefícios, deverão constar do regulamento do plano de benefícios, observada a legislação federal respectiva.</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DOS BENEFÍCIOS</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11</w:t>
      </w:r>
      <w:r>
        <w:rPr>
          <w:rFonts w:eastAsia="Arial" w:cs="Arial" w:ascii="Noto Serif" w:hAnsi="Noto Serif"/>
          <w:color w:val="000000"/>
          <w:spacing w:val="0"/>
          <w:sz w:val="20"/>
          <w:szCs w:val="20"/>
          <w:shd w:fill="auto" w:val="clear"/>
        </w:rPr>
        <w:t xml:space="preserve">. Os benefícios programados, definidos no plano de benefícios, terão seu valor permanentemente ajustado à reserva constituída em favor do participante, inclusive na fase de percepção, considerando o resultado líquido de sua aplicação, os valores aportados, resgatados e/ou portados e os benefícios pagos.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1º O plano de benefícios de que trata 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deverá prever benefícios não programados que:</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I – assegurem ao menos os decorrentes dos eventos invalidez e morte do participante; e  </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sejam estruturados unicamente com base em reserva acumulada em favor do participante.</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2º Na gestão dos benefícios de que trata o § 1º, o plano de benefícios poderá prever a contratação de cobertura adicional de riscos junto à sociedade seguradora, desde que mediante custeio específico.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 3º O plano de que trata 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poderá prever cobertura por sobrevivência do assistido, desde que contratada junto à sociedade seguradora.</w:t>
      </w:r>
    </w:p>
    <w:p>
      <w:pPr>
        <w:pStyle w:val="Normal"/>
        <w:spacing w:lineRule="auto" w:line="360" w:before="0" w:after="0"/>
        <w:ind w:left="0" w:right="0" w:hanging="0"/>
        <w:jc w:val="both"/>
        <w:rPr>
          <w:rFonts w:ascii="Noto Serif" w:hAnsi="Noto Serif" w:eastAsia="Arial" w:cs="Arial"/>
          <w:b/>
          <w:b/>
          <w:color w:val="auto"/>
          <w:spacing w:val="0"/>
          <w:sz w:val="12"/>
          <w:szCs w:val="12"/>
        </w:rPr>
      </w:pPr>
      <w:r>
        <w:rPr>
          <w:rFonts w:eastAsia="Arial" w:cs="Arial" w:ascii="Noto Serif" w:hAnsi="Noto Serif"/>
          <w:b/>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 PATROCINADOR</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12.</w:t>
      </w:r>
      <w:r>
        <w:rPr>
          <w:rFonts w:eastAsia="Arial" w:cs="Arial" w:ascii="Noto Serif" w:hAnsi="Noto Serif"/>
          <w:color w:val="000000"/>
          <w:spacing w:val="0"/>
          <w:sz w:val="20"/>
          <w:szCs w:val="20"/>
          <w:shd w:fill="auto" w:val="clear"/>
        </w:rPr>
        <w:t xml:space="preserve"> O Município, assim compreendido o Poder Executivo e o Poder Legislativo, é o patrocinador do plano de benefícios do Regime de Previdência Complementar – RPC de que trata esta Lei, sendo representado pelo Prefeito Municipal, que poderá delegar, expressamente, esta competência.</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xml:space="preserve">. A representação de que trata 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compreende poderes para:</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 xml:space="preserve">I – a celebração de convênio de adesão e suas alterações; </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a retirada de patrocínio;</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III – a transferência de gerenciamento;</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IV – a manifestação acerca da aprovação ou da alteração de plano de benefícios de que trata esta Lei e demais atos correlatos.</w:t>
      </w:r>
    </w:p>
    <w:p>
      <w:pPr>
        <w:pStyle w:val="Normal"/>
        <w:spacing w:lineRule="auto" w:line="360" w:before="0" w:after="0"/>
        <w:ind w:left="0" w:right="0" w:firstLine="1418"/>
        <w:jc w:val="left"/>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13</w:t>
      </w:r>
      <w:r>
        <w:rPr>
          <w:rFonts w:eastAsia="Arial" w:cs="Arial" w:ascii="Noto Serif" w:hAnsi="Noto Serif"/>
          <w:color w:val="000000"/>
          <w:spacing w:val="0"/>
          <w:sz w:val="20"/>
          <w:szCs w:val="20"/>
          <w:shd w:fill="auto" w:val="clear"/>
        </w:rPr>
        <w:t xml:space="preserve">. Deverão estar previstas no convênio de adesão ao plano de benefícios administrado pela entidade de previdência complementar, ou nos instrumentos jurídicos equivalentes, cláusulas que estabeleçam, no mínimo: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 – a inexistência de solidariedade do Município, enquanto patrocinador, em relação a outros patrocinadores, instituidores, averbadores, planos de benefícios e entidades de previdência complementar;</w:t>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color w:val="000000"/>
          <w:spacing w:val="0"/>
          <w:sz w:val="20"/>
          <w:szCs w:val="20"/>
          <w:shd w:fill="auto" w:val="clear"/>
        </w:rPr>
        <w:t>II – os prazos de cumprimento das obrigações pelo patrocinador e das sanções previstas, nos casos de atraso no envio de informações cadastrais referentes aos participantes e assistidos, assim como de pagamentos ou repasses de contribuições definidas;</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III – a reversão à cota individual do participante a que se referir, do valor correspondente à atualização monetária e aos juros suportados pelo Patrocinador por atraso de pagamento ou de repasse de contribuições;</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IV – em caso de aporte financeiro, a ser realizado pelo patrocinador, a indicação do valor correspondente e das regras aplicáveis;</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V – os parâmetros para retirada de patrocínio ou rescisão contratual, assim como para a transferência de gerenciamento da administração do plano de benefícios; </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VI – a obrigação da entidade de previdência complementar em informar, aos patrocinadores vinculados ao plano de benefícios, sobre o não pagamento ou repasse de contribuições, assim como de quaisquer outras obrigações, em prazo superior a </w:t>
      </w:r>
      <w:r>
        <w:rPr>
          <w:rFonts w:eastAsia="Arial" w:cs="Arial" w:ascii="Noto Serif" w:hAnsi="Noto Serif"/>
          <w:color w:val="000000"/>
          <w:spacing w:val="0"/>
          <w:sz w:val="20"/>
          <w:szCs w:val="20"/>
          <w:shd w:fill="auto" w:val="clear"/>
        </w:rPr>
        <w:t>90 (</w:t>
      </w:r>
      <w:r>
        <w:rPr>
          <w:rFonts w:eastAsia="Arial" w:cs="Arial" w:ascii="Noto Serif" w:hAnsi="Noto Serif"/>
          <w:color w:val="000000"/>
          <w:spacing w:val="0"/>
          <w:sz w:val="20"/>
          <w:szCs w:val="20"/>
          <w:shd w:fill="auto" w:val="clear"/>
        </w:rPr>
        <w:t>noventa</w:t>
      </w:r>
      <w:r>
        <w:rPr>
          <w:rFonts w:eastAsia="Arial" w:cs="Arial" w:ascii="Noto Serif" w:hAnsi="Noto Serif"/>
          <w:color w:val="000000"/>
          <w:spacing w:val="0"/>
          <w:sz w:val="20"/>
          <w:szCs w:val="20"/>
          <w:shd w:fill="auto" w:val="clear"/>
        </w:rPr>
        <w:t>)</w:t>
      </w:r>
      <w:r>
        <w:rPr>
          <w:rFonts w:eastAsia="Arial" w:cs="Arial" w:ascii="Noto Serif" w:hAnsi="Noto Serif"/>
          <w:color w:val="000000"/>
          <w:spacing w:val="0"/>
          <w:sz w:val="20"/>
          <w:szCs w:val="20"/>
          <w:shd w:fill="auto" w:val="clear"/>
        </w:rPr>
        <w:t xml:space="preserve"> dias, sem prejuízo das demais providências cabíveis.</w:t>
      </w:r>
    </w:p>
    <w:p>
      <w:pPr>
        <w:pStyle w:val="Normal"/>
        <w:spacing w:lineRule="auto" w:line="360" w:before="0" w:after="0"/>
        <w:ind w:left="0" w:right="0" w:hanging="0"/>
        <w:jc w:val="center"/>
        <w:rPr>
          <w:rFonts w:ascii="Noto Serif" w:hAnsi="Noto Serif" w:eastAsia="Arial" w:cs="Arial"/>
          <w:b/>
          <w:b/>
          <w:color w:val="auto"/>
          <w:spacing w:val="0"/>
          <w:sz w:val="8"/>
          <w:szCs w:val="8"/>
        </w:rPr>
      </w:pPr>
      <w:r>
        <w:rPr>
          <w:rFonts w:eastAsia="Arial" w:cs="Arial" w:ascii="Noto Serif" w:hAnsi="Noto Serif"/>
          <w:b/>
          <w:color w:val="auto"/>
          <w:spacing w:val="0"/>
          <w:sz w:val="8"/>
          <w:szCs w:val="8"/>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IV</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DOS PARTICIPANTES</w:t>
      </w:r>
    </w:p>
    <w:p>
      <w:pPr>
        <w:pStyle w:val="Normal"/>
        <w:spacing w:lineRule="auto" w:line="360" w:before="0" w:after="0"/>
        <w:ind w:left="0" w:right="0" w:hanging="0"/>
        <w:jc w:val="center"/>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pPr>
      <w:r>
        <w:rPr>
          <w:rFonts w:eastAsia="Arial" w:cs="Arial" w:ascii="Noto Serif" w:hAnsi="Noto Serif"/>
          <w:color w:val="000000"/>
          <w:spacing w:val="0"/>
          <w:sz w:val="22"/>
          <w:szCs w:val="22"/>
          <w:shd w:fill="auto" w:val="clear"/>
        </w:rPr>
        <w:tab/>
      </w:r>
      <w:r>
        <w:rPr>
          <w:rFonts w:eastAsia="Arial" w:cs="Arial" w:ascii="Noto Serif" w:hAnsi="Noto Serif"/>
          <w:b/>
          <w:bCs/>
          <w:color w:val="000000"/>
          <w:spacing w:val="0"/>
          <w:sz w:val="20"/>
          <w:szCs w:val="20"/>
          <w:shd w:fill="auto" w:val="clear"/>
        </w:rPr>
        <w:t>Art. 14</w:t>
      </w:r>
      <w:r>
        <w:rPr>
          <w:rFonts w:eastAsia="Arial" w:cs="Arial" w:ascii="Noto Serif" w:hAnsi="Noto Serif"/>
          <w:color w:val="000000"/>
          <w:spacing w:val="0"/>
          <w:sz w:val="20"/>
          <w:szCs w:val="20"/>
          <w:shd w:fill="auto" w:val="clear"/>
        </w:rPr>
        <w:t>. Pode se inscrever como participante do plano de benefícios, observadas as disposições desta Lei, todo o servidor público titular de cargo efetivo no Município, vinculado ao Poder Executivo, e ao Poder Legislativo.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15</w:t>
      </w:r>
      <w:r>
        <w:rPr>
          <w:rFonts w:eastAsia="Arial" w:cs="Arial" w:ascii="Noto Serif" w:hAnsi="Noto Serif"/>
          <w:color w:val="000000"/>
          <w:spacing w:val="0"/>
          <w:sz w:val="20"/>
          <w:szCs w:val="20"/>
          <w:shd w:fill="auto" w:val="clear"/>
        </w:rPr>
        <w:t>. Poderá permanecer inscrito no respectivo plano de benefícios o participante:</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 – regularmente cedido, nos termos da legislação municipal que regula o instituto;</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afastado ou licenciado temporariamente do cargo efetivo, com ou sem recebimento de remuneração, inclusive para o exercício de man</w:t>
      </w:r>
      <w:r>
        <w:rPr>
          <w:rFonts w:eastAsia="Arial" w:cs="Arial" w:ascii="Noto Serif" w:hAnsi="Noto Serif"/>
          <w:color w:val="000000"/>
          <w:spacing w:val="0"/>
          <w:sz w:val="20"/>
          <w:szCs w:val="20"/>
          <w:shd w:fill="auto" w:val="clear"/>
        </w:rPr>
        <w:t>d</w:t>
      </w:r>
      <w:r>
        <w:rPr>
          <w:rFonts w:eastAsia="Arial" w:cs="Arial" w:ascii="Noto Serif" w:hAnsi="Noto Serif"/>
          <w:color w:val="000000"/>
          <w:spacing w:val="0"/>
          <w:sz w:val="20"/>
          <w:szCs w:val="20"/>
          <w:shd w:fill="auto" w:val="clear"/>
        </w:rPr>
        <w:t>ato eletivo em qualquer dos entes da federação;</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III – que optar pelo benefício proporcional diferido ou autopatrocínio, na forma do regulamento do plano de benefícios.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1º O regulamento do plano de benefícios estabelecerá as regras para a manutenção do custeio, observada a legislação aplicável.</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2º Nas hipóteses de cedência, mesmo nos casos em que venha a ocorrer com ônus para o cessionário, caberá ao patrocinador providenciar no recolhimento das contribuições ao plano de benefícios, conforme o regulamento.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3º Nos afastamentos ou licenças sem prejuízo da remuneração, participante e patrocinador arcarão com suas respectivas contribuições ao plano de benefícios. </w:t>
      </w:r>
    </w:p>
    <w:p>
      <w:pPr>
        <w:pStyle w:val="Normal"/>
        <w:spacing w:lineRule="auto" w:line="360" w:before="0" w:after="0"/>
        <w:ind w:left="0" w:right="0" w:hanging="0"/>
        <w:jc w:val="both"/>
        <w:rPr>
          <w:rFonts w:ascii="Noto Serif" w:hAnsi="Noto Serif" w:eastAsia="Arial" w:cs="Arial"/>
          <w:b/>
          <w:b/>
          <w:color w:val="auto"/>
          <w:spacing w:val="0"/>
          <w:sz w:val="12"/>
          <w:szCs w:val="12"/>
        </w:rPr>
      </w:pPr>
      <w:r>
        <w:rPr>
          <w:rFonts w:eastAsia="Arial" w:cs="Arial" w:ascii="Noto Serif" w:hAnsi="Noto Serif"/>
          <w:b/>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Seção V</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DAS CONTRIBUIÇÕES</w:t>
      </w:r>
    </w:p>
    <w:p>
      <w:pPr>
        <w:pStyle w:val="Normal"/>
        <w:spacing w:lineRule="auto" w:line="360" w:before="0" w:after="0"/>
        <w:ind w:left="0" w:right="0" w:hanging="0"/>
        <w:jc w:val="center"/>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16</w:t>
      </w:r>
      <w:r>
        <w:rPr>
          <w:rFonts w:eastAsia="Arial" w:cs="Arial" w:ascii="Noto Serif" w:hAnsi="Noto Serif"/>
          <w:color w:val="000000"/>
          <w:spacing w:val="0"/>
          <w:sz w:val="20"/>
          <w:szCs w:val="20"/>
          <w:shd w:fill="auto" w:val="clear"/>
        </w:rPr>
        <w:t>. A</w:t>
      </w:r>
      <w:r>
        <w:rPr>
          <w:rFonts w:eastAsia="Arial" w:cs="Arial" w:ascii="Noto Serif" w:hAnsi="Noto Serif"/>
          <w:color w:val="000000"/>
          <w:spacing w:val="0"/>
          <w:sz w:val="20"/>
          <w:szCs w:val="20"/>
          <w:shd w:fill="FFFFFF" w:val="clear"/>
        </w:rPr>
        <w:t>s contribuições do patrocinador e do participante incidirão sobre a parcela da remuneração de contribuição que exceder ao valor máximo fixado para os benefícios do Regime Geral de Previdência Social – RGPS, observados os limites previstos no inciso XI do art. 37 da Constituição Federal.</w:t>
      </w:r>
    </w:p>
    <w:p>
      <w:pPr>
        <w:pStyle w:val="Normal"/>
        <w:spacing w:lineRule="auto" w:line="360" w:before="0" w:after="0"/>
        <w:ind w:left="0" w:right="0" w:firstLine="1418"/>
        <w:jc w:val="both"/>
        <w:rPr>
          <w:rFonts w:ascii="Noto Serif" w:hAnsi="Noto Serif" w:eastAsia="Arial" w:cs="Arial"/>
          <w:color w:val="auto"/>
          <w:spacing w:val="0"/>
          <w:sz w:val="12"/>
          <w:szCs w:val="12"/>
          <w:highlight w:val="white"/>
        </w:rPr>
      </w:pPr>
      <w:r>
        <w:rPr>
          <w:rFonts w:eastAsia="Arial" w:cs="Arial" w:ascii="Noto Serif" w:hAnsi="Noto Serif"/>
          <w:color w:val="auto"/>
          <w:spacing w:val="0"/>
          <w:sz w:val="12"/>
          <w:szCs w:val="12"/>
          <w:highlight w:val="white"/>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FFFFFF" w:val="clear"/>
        </w:rPr>
        <w:tab/>
        <w:t>§ 1º O conceito de remuneração de contribuição é o definido na legislação municipal que dispõe sobre o Regime Próprio de Previdência Social – RPPS.</w:t>
      </w:r>
    </w:p>
    <w:p>
      <w:pPr>
        <w:pStyle w:val="Normal"/>
        <w:spacing w:lineRule="auto" w:line="360" w:before="0" w:after="0"/>
        <w:ind w:left="0" w:right="0" w:firstLine="1418"/>
        <w:jc w:val="both"/>
        <w:rPr>
          <w:rFonts w:ascii="Noto Serif" w:hAnsi="Noto Serif" w:eastAsia="Arial" w:cs="Arial"/>
          <w:color w:val="auto"/>
          <w:spacing w:val="0"/>
          <w:sz w:val="12"/>
          <w:szCs w:val="12"/>
          <w:highlight w:val="white"/>
        </w:rPr>
      </w:pPr>
      <w:r>
        <w:rPr>
          <w:rFonts w:eastAsia="Arial" w:cs="Arial" w:ascii="Noto Serif" w:hAnsi="Noto Serif"/>
          <w:color w:val="auto"/>
          <w:spacing w:val="0"/>
          <w:sz w:val="12"/>
          <w:szCs w:val="12"/>
          <w:highlight w:val="white"/>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FFFFFF" w:val="clear"/>
        </w:rPr>
        <w:tab/>
        <w:t>§ 2º Fica ressalvada da regra do caput o disposto no art. 7º, § 1º, desta Lei.</w:t>
      </w:r>
    </w:p>
    <w:p>
      <w:pPr>
        <w:pStyle w:val="Normal"/>
        <w:spacing w:lineRule="auto" w:line="360" w:before="0" w:after="0"/>
        <w:ind w:left="0" w:right="0" w:hanging="0"/>
        <w:jc w:val="both"/>
        <w:rPr>
          <w:rFonts w:ascii="Noto Serif" w:hAnsi="Noto Serif" w:eastAsia="Arial" w:cs="Arial"/>
          <w:color w:val="000000"/>
          <w:spacing w:val="0"/>
          <w:sz w:val="12"/>
          <w:szCs w:val="12"/>
          <w:shd w:fill="FFFFFF" w:val="clear"/>
        </w:rPr>
      </w:pPr>
      <w:r>
        <w:rPr>
          <w:rFonts w:eastAsia="Arial" w:cs="Arial" w:ascii="Noto Serif" w:hAnsi="Noto Serif"/>
          <w:color w:val="000000"/>
          <w:spacing w:val="0"/>
          <w:sz w:val="12"/>
          <w:szCs w:val="12"/>
          <w:shd w:fill="FFFFFF" w:val="clear"/>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17</w:t>
      </w:r>
      <w:r>
        <w:rPr>
          <w:rFonts w:eastAsia="Arial" w:cs="Arial" w:ascii="Noto Serif" w:hAnsi="Noto Serif"/>
          <w:color w:val="000000"/>
          <w:spacing w:val="0"/>
          <w:sz w:val="20"/>
          <w:szCs w:val="20"/>
          <w:shd w:fill="auto" w:val="clear"/>
        </w:rPr>
        <w:t xml:space="preserve">. Nos termos do regulamento do plano de benefícios caberá ao participante a definição de sua alíquota de contribuição. </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xml:space="preserve">. </w:t>
      </w:r>
      <w:r>
        <w:rPr>
          <w:rFonts w:eastAsia="Arial" w:cs="Arial" w:ascii="Noto Serif" w:hAnsi="Noto Serif"/>
          <w:color w:val="000000"/>
          <w:spacing w:val="0"/>
          <w:sz w:val="20"/>
          <w:szCs w:val="20"/>
          <w:shd w:fill="FFFFFF" w:val="clear"/>
        </w:rPr>
        <w:t>Além da contribuição normal, o regulamento do plano de benefícios poderá prever:</w:t>
      </w:r>
    </w:p>
    <w:p>
      <w:pPr>
        <w:pStyle w:val="Normal"/>
        <w:spacing w:lineRule="auto" w:line="360" w:before="0" w:after="0"/>
        <w:ind w:left="0" w:right="0" w:firstLine="1418"/>
        <w:jc w:val="both"/>
        <w:rPr>
          <w:rFonts w:ascii="Noto Serif" w:hAnsi="Noto Serif" w:eastAsia="Arial" w:cs="Arial"/>
          <w:color w:val="auto"/>
          <w:spacing w:val="0"/>
          <w:sz w:val="12"/>
          <w:szCs w:val="12"/>
          <w:highlight w:val="white"/>
        </w:rPr>
      </w:pPr>
      <w:r>
        <w:rPr>
          <w:rFonts w:eastAsia="Arial" w:cs="Arial" w:ascii="Noto Serif" w:hAnsi="Noto Serif"/>
          <w:color w:val="auto"/>
          <w:spacing w:val="0"/>
          <w:sz w:val="12"/>
          <w:szCs w:val="12"/>
          <w:highlight w:val="white"/>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FFFFFF" w:val="clear"/>
        </w:rPr>
        <w:tab/>
        <w:t>I – alíquotas de contribuição adicional para o participante, de caráter opcional, sem contrapartida do patrocinador;</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FFFFFF" w:val="clear"/>
        </w:rPr>
        <w:tab/>
        <w:t>II – possibilidade de aporte eventual de recursos pelo participante, a qualquer tempo, a título de contribuição facultativa, sem contrapartida do patrocinador.</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18</w:t>
      </w:r>
      <w:r>
        <w:rPr>
          <w:rFonts w:eastAsia="Arial" w:cs="Arial" w:ascii="Noto Serif" w:hAnsi="Noto Serif"/>
          <w:color w:val="000000"/>
          <w:spacing w:val="0"/>
          <w:sz w:val="20"/>
          <w:szCs w:val="20"/>
          <w:shd w:fill="auto" w:val="clear"/>
        </w:rPr>
        <w:t>. A alíquota de contribuição do patrocinador será igual à do participante, observado o disposto no regulamento do plano de benefícios, não podendo exceder a 8,5% (oito vírgula cinco por cento).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19</w:t>
      </w:r>
      <w:r>
        <w:rPr>
          <w:rFonts w:eastAsia="Arial" w:cs="Arial" w:ascii="Noto Serif" w:hAnsi="Noto Serif"/>
          <w:color w:val="000000"/>
          <w:spacing w:val="0"/>
          <w:sz w:val="20"/>
          <w:szCs w:val="20"/>
          <w:shd w:fill="auto" w:val="clear"/>
        </w:rPr>
        <w:t>. O patrocinador somente se responsabilizará por realizar contribuições em contrapartida às contribuições normais do participante que atenda, concomitantemente, às seguintes condições: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 – seja filiado ao Regime de Previdência Complementar – RPC e tenha aderido ao plano de benefícios, nos termos desta Lei; e</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II – cuja remuneração exceda o limite máximo </w:t>
      </w:r>
      <w:r>
        <w:rPr>
          <w:rFonts w:eastAsia="Arial" w:cs="Arial" w:ascii="Noto Serif" w:hAnsi="Noto Serif"/>
          <w:color w:val="000000"/>
          <w:spacing w:val="0"/>
          <w:sz w:val="20"/>
          <w:szCs w:val="20"/>
          <w:shd w:fill="FFFFFF" w:val="clear"/>
        </w:rPr>
        <w:t>fixado para os benefícios do Regime Geral de Previdência Social – RGPS, observados os limites previstos no inciso XI do art. 37 da Constituição Federal</w:t>
      </w:r>
      <w:r>
        <w:rPr>
          <w:rFonts w:eastAsia="Arial" w:cs="Arial" w:ascii="Noto Serif" w:hAnsi="Noto Serif"/>
          <w:color w:val="000000"/>
          <w:spacing w:val="0"/>
          <w:sz w:val="20"/>
          <w:szCs w:val="20"/>
          <w:shd w:fill="auto" w:val="clear"/>
        </w:rPr>
        <w:t xml:space="preserve">. </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xml:space="preserve">. O participante que não se enquadre nas condições previstas nos incisos I e II do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não terá direito à contrapartida do patrocinador.</w:t>
      </w:r>
    </w:p>
    <w:p>
      <w:pPr>
        <w:pStyle w:val="Normal"/>
        <w:spacing w:lineRule="auto" w:line="360" w:before="0" w:after="0"/>
        <w:ind w:left="0" w:right="0" w:hanging="0"/>
        <w:jc w:val="both"/>
        <w:rPr>
          <w:rFonts w:ascii="Noto Serif" w:hAnsi="Noto Serif" w:eastAsia="Arial" w:cs="Arial"/>
          <w:color w:val="000000"/>
          <w:spacing w:val="0"/>
          <w:sz w:val="12"/>
          <w:szCs w:val="12"/>
          <w:shd w:fill="auto" w:val="clear"/>
        </w:rPr>
      </w:pPr>
      <w:r>
        <w:rPr>
          <w:rFonts w:eastAsia="Arial" w:cs="Arial" w:ascii="Noto Serif" w:hAnsi="Noto Serif"/>
          <w:color w:val="000000"/>
          <w:spacing w:val="0"/>
          <w:sz w:val="12"/>
          <w:szCs w:val="12"/>
          <w:shd w:fill="auto" w:val="clear"/>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FFFFFF" w:val="clear"/>
        </w:rPr>
        <w:tab/>
      </w:r>
      <w:r>
        <w:rPr>
          <w:rFonts w:eastAsia="Arial" w:cs="Arial" w:ascii="Noto Serif" w:hAnsi="Noto Serif"/>
          <w:b/>
          <w:bCs/>
          <w:color w:val="000000"/>
          <w:spacing w:val="0"/>
          <w:sz w:val="20"/>
          <w:szCs w:val="20"/>
          <w:shd w:fill="FFFFFF" w:val="clear"/>
        </w:rPr>
        <w:t>Art. 20</w:t>
      </w:r>
      <w:r>
        <w:rPr>
          <w:rFonts w:eastAsia="Arial" w:cs="Arial" w:ascii="Noto Serif" w:hAnsi="Noto Serif"/>
          <w:color w:val="000000"/>
          <w:spacing w:val="0"/>
          <w:sz w:val="20"/>
          <w:szCs w:val="20"/>
          <w:shd w:fill="FFFFFF" w:val="clear"/>
        </w:rPr>
        <w:t xml:space="preserve">. </w:t>
      </w:r>
      <w:r>
        <w:rPr>
          <w:rFonts w:eastAsia="Arial" w:cs="Arial" w:ascii="Noto Serif" w:hAnsi="Noto Serif"/>
          <w:color w:val="000000"/>
          <w:spacing w:val="0"/>
          <w:sz w:val="20"/>
          <w:szCs w:val="20"/>
          <w:shd w:fill="auto" w:val="clear"/>
        </w:rPr>
        <w:t>O Poder Executivo e o Poder Legislativo, conforme a respectiva vinculação funcional do participante, são responsáveis pelo repasse das contribuições devidas pelo patrocinador e das contribuições descontadas dos participantes, observado o disposto nesta Lei, no convênio de adesão e no regulamento.</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1º As contribuições do patrocinador ao plano de benefícios serão realizadas com recursos do orçamento dos órgãos e entidades correspondentes conforme a respectiva vinculação funcional do participante.</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2º Estarão sujeitas à atualização monetária e demais reflexos moratórios previstos no convênio, regulamento e no plano de benefícios, as contribuições recolhidas em atraso, sem prejuízo das demais penalidades previstas nesta Lei e na legislação aplicável.</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3º Será considerado inadimplente o Município na hipótese de não cumprimento das obrigações previstas no convênio de adesão e no regulamento do plano de benefícios por quaisquer dos Poderes.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21</w:t>
      </w:r>
      <w:r>
        <w:rPr>
          <w:rFonts w:eastAsia="Arial" w:cs="Arial" w:ascii="Noto Serif" w:hAnsi="Noto Serif"/>
          <w:color w:val="000000"/>
          <w:spacing w:val="0"/>
          <w:sz w:val="20"/>
          <w:szCs w:val="20"/>
          <w:shd w:fill="auto" w:val="clear"/>
        </w:rPr>
        <w:t>. A entidade de previdência complementar responsável pela administração do plano de benefícios manterá controle individual das reservas constituídas em nome do participante e registro das contribuições deste e do patrocinador.</w:t>
      </w:r>
    </w:p>
    <w:p>
      <w:pPr>
        <w:pStyle w:val="Normal"/>
        <w:spacing w:lineRule="auto" w:line="360" w:before="0" w:after="0"/>
        <w:ind w:left="0" w:right="0" w:hanging="0"/>
        <w:jc w:val="both"/>
        <w:rPr>
          <w:rFonts w:ascii="Noto Serif" w:hAnsi="Noto Serif" w:eastAsia="Arial" w:cs="Arial"/>
          <w:b/>
          <w:b/>
          <w:color w:val="auto"/>
          <w:spacing w:val="0"/>
          <w:sz w:val="12"/>
          <w:szCs w:val="12"/>
        </w:rPr>
      </w:pPr>
      <w:r>
        <w:rPr>
          <w:rFonts w:eastAsia="Arial" w:cs="Arial" w:ascii="Noto Serif" w:hAnsi="Noto Serif"/>
          <w:b/>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CAPÍTULO III</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DA ENTIDADE RESPONSÁVEL PELA ADMINISTRAÇÃO DO PLANO DE BENEFÍCIOS</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5" w:right="0" w:hanging="0"/>
        <w:jc w:val="both"/>
        <w:rPr>
          <w:sz w:val="20"/>
          <w:szCs w:val="20"/>
        </w:rPr>
      </w:pPr>
      <w:r>
        <w:rPr>
          <w:rFonts w:eastAsia="Arial" w:cs="Arial" w:ascii="Noto Serif" w:hAnsi="Noto Serif"/>
          <w:color w:val="000000"/>
          <w:spacing w:val="0"/>
          <w:sz w:val="20"/>
          <w:szCs w:val="20"/>
          <w:shd w:fill="auto" w:val="clear"/>
        </w:rPr>
        <w:tab/>
        <w:tab/>
      </w:r>
      <w:r>
        <w:rPr>
          <w:rFonts w:eastAsia="Arial" w:cs="Arial" w:ascii="Noto Serif" w:hAnsi="Noto Serif"/>
          <w:b/>
          <w:bCs/>
          <w:color w:val="000000"/>
          <w:spacing w:val="0"/>
          <w:sz w:val="20"/>
          <w:szCs w:val="20"/>
          <w:shd w:fill="auto" w:val="clear"/>
        </w:rPr>
        <w:t>Art. 22</w:t>
      </w:r>
      <w:r>
        <w:rPr>
          <w:rFonts w:eastAsia="Arial" w:cs="Arial" w:ascii="Noto Serif" w:hAnsi="Noto Serif"/>
          <w:color w:val="000000"/>
          <w:spacing w:val="0"/>
          <w:sz w:val="20"/>
          <w:szCs w:val="20"/>
          <w:shd w:fill="auto" w:val="clear"/>
        </w:rPr>
        <w:t>. A escolha da entidade de previdência complementar responsável pela administração do plano de benefícios será precedida de processo seletivo, observados os princípios da impessoalidade, publicidade e transparência, contemplando requisitos de qualificação técnica e economicidade indispensáveis à garantia da boa gestão do plano.</w:t>
      </w:r>
    </w:p>
    <w:p>
      <w:pPr>
        <w:pStyle w:val="Normal"/>
        <w:spacing w:lineRule="auto" w:line="360" w:before="0" w:after="0"/>
        <w:ind w:left="-5" w:right="0" w:firstLine="1423"/>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1º A formalização da relação jurídica com a entidade selecionada nos termos do </w:t>
      </w:r>
      <w:r>
        <w:rPr>
          <w:rFonts w:eastAsia="Arial" w:cs="Arial" w:ascii="Noto Serif" w:hAnsi="Noto Serif"/>
          <w:i/>
          <w:iCs/>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deste artigo, </w:t>
      </w:r>
      <w:r>
        <w:rPr>
          <w:rFonts w:eastAsia="Arial" w:cs="Arial" w:ascii="Noto Serif" w:hAnsi="Noto Serif"/>
          <w:color w:val="000000"/>
          <w:spacing w:val="0"/>
          <w:sz w:val="20"/>
          <w:szCs w:val="20"/>
          <w:shd w:fill="auto" w:val="clear"/>
        </w:rPr>
        <w:t>dar-se-á</w:t>
      </w:r>
      <w:r>
        <w:rPr>
          <w:rFonts w:eastAsia="Arial" w:cs="Arial" w:ascii="Noto Serif" w:hAnsi="Noto Serif"/>
          <w:color w:val="000000"/>
          <w:spacing w:val="0"/>
          <w:sz w:val="20"/>
          <w:szCs w:val="20"/>
          <w:shd w:fill="auto" w:val="clear"/>
        </w:rPr>
        <w:t xml:space="preserve"> através de convênio de adesão, nos termos da legislação aplicável, com vigência por prazo indeterminado.</w:t>
      </w:r>
    </w:p>
    <w:p>
      <w:pPr>
        <w:pStyle w:val="Normal"/>
        <w:spacing w:lineRule="auto" w:line="360" w:before="0" w:after="0"/>
        <w:ind w:left="0" w:right="0" w:firstLine="1423"/>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2º O processo seletivo poderá ser realizado em cooperação com outros Municípios, desde que seja demonstrado o efetivo cumprimento dos requisitos estabelecidos no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CAPÍTULO IV</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DO ACOMPANHAMENTO DA ENTIDADE RESPONSÁVEL PELA ADMINISTRAÇÃO DO PLANO DE BENEFÍCIOS</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23</w:t>
      </w:r>
      <w:r>
        <w:rPr>
          <w:rFonts w:eastAsia="Arial" w:cs="Arial" w:ascii="Noto Serif" w:hAnsi="Noto Serif"/>
          <w:color w:val="000000"/>
          <w:spacing w:val="0"/>
          <w:sz w:val="20"/>
          <w:szCs w:val="20"/>
          <w:shd w:fill="auto" w:val="clear"/>
        </w:rPr>
        <w:t xml:space="preserve">. O Poder Executivo instituirá Comitê de Assessoramento de Previdência Complementar – CAPC. </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1º Compete ao Comitê de Assessoramento de Previdência Complementar – CAPC:</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 – acompanhar a gestão do plano de benefícios;</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 – acompanhar os resultados do plano de benefícios;</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III – recomendar a transferência da gestão do plano de benefícios;</w:t>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IV – manifestar-se sobre alterações no regulamento do plano de benefícios, além de outras atribuições e responsabilidades definidas em regulamento, na forma do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2º O Poder Executivo fica autorizado, alternativamente à instituição de Comitê de Assessoramento de Previdência Complementar – CAPC, conforme exigência do </w:t>
      </w:r>
      <w:r>
        <w:rPr>
          <w:rFonts w:eastAsia="Arial" w:cs="Arial" w:ascii="Noto Serif" w:hAnsi="Noto Serif"/>
          <w:i/>
          <w:color w:val="000000"/>
          <w:spacing w:val="0"/>
          <w:sz w:val="20"/>
          <w:szCs w:val="20"/>
          <w:shd w:fill="auto" w:val="clear"/>
        </w:rPr>
        <w:t xml:space="preserve">caput, </w:t>
      </w:r>
      <w:r>
        <w:rPr>
          <w:rFonts w:eastAsia="Arial" w:cs="Arial" w:ascii="Noto Serif" w:hAnsi="Noto Serif"/>
          <w:color w:val="000000"/>
          <w:spacing w:val="0"/>
          <w:sz w:val="20"/>
          <w:szCs w:val="20"/>
          <w:shd w:fill="auto" w:val="clear"/>
        </w:rPr>
        <w:t>a delegar, mediante decreto, as competências definidas no § 1º a órgão ou conselho já devidamente instituído no âmbito do Regime Próprio de Previdência Social – RPPS do Município.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24</w:t>
      </w:r>
      <w:r>
        <w:rPr>
          <w:rFonts w:eastAsia="Arial" w:cs="Arial" w:ascii="Noto Serif" w:hAnsi="Noto Serif"/>
          <w:color w:val="000000"/>
          <w:spacing w:val="0"/>
          <w:sz w:val="20"/>
          <w:szCs w:val="20"/>
          <w:shd w:fill="auto" w:val="clear"/>
        </w:rPr>
        <w:t xml:space="preserve">. O Comitê de Assessoramento de Previdência Complementar – CAPC, se instituído, será composto por 4 (quatro) membros, designados por ato do Chefe do Poder Executivo para um mandato de </w:t>
      </w:r>
      <w:r>
        <w:rPr>
          <w:rFonts w:eastAsia="Arial" w:cs="Arial" w:ascii="Noto Serif" w:hAnsi="Noto Serif"/>
          <w:b w:val="false"/>
          <w:bCs w:val="false"/>
          <w:color w:val="000000"/>
          <w:spacing w:val="0"/>
          <w:sz w:val="20"/>
          <w:szCs w:val="20"/>
          <w:shd w:fill="auto" w:val="clear"/>
        </w:rPr>
        <w:t>02 (dois)</w:t>
      </w:r>
      <w:r>
        <w:rPr>
          <w:rFonts w:eastAsia="Arial" w:cs="Arial" w:ascii="Noto Serif" w:hAnsi="Noto Serif"/>
          <w:color w:val="000000"/>
          <w:spacing w:val="0"/>
          <w:sz w:val="20"/>
          <w:szCs w:val="20"/>
          <w:shd w:fill="auto" w:val="clear"/>
        </w:rPr>
        <w:t xml:space="preserve"> anos.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1º Cabe ao Chefe do Poder Executivo a escolha de 2 (dois) membros, necessariamente servidores públicos Municipais e preferencialmente participantes do Regime de Previdência Complementar – RPC.</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2º Cabe aos participantes, em assembleia, a escolha de 2 (dois) membros, necessariamente participantes do Regime de Previdência Complementar – RPC.</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3º Os membros do Comitê de Assessoramento de Previdência Complementar – CAPC deverão ter formação superior completa e atender a requisitos técnicos mínimos. </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4º Cabe ao Chefe do Poder Executivo a indicação do Presidente, que terá, além do seu, o voto de qualidade.</w:t>
      </w:r>
    </w:p>
    <w:p>
      <w:pPr>
        <w:pStyle w:val="Normal"/>
        <w:spacing w:lineRule="auto" w:line="360" w:before="0" w:after="0"/>
        <w:ind w:left="0" w:right="0" w:hanging="0"/>
        <w:jc w:val="both"/>
        <w:rPr>
          <w:rFonts w:ascii="Noto Serif" w:hAnsi="Noto Serif" w:eastAsia="Arial" w:cs="Arial"/>
          <w:color w:val="000000"/>
          <w:spacing w:val="0"/>
          <w:shd w:fill="auto" w:val="clear"/>
        </w:rPr>
      </w:pPr>
      <w:r>
        <w:rPr>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xml:space="preserve">§ 5º Os membros do Comitê de Assessoramento de Previdência Complementar – CAPC não serão destituíveis </w:t>
      </w:r>
      <w:r>
        <w:rPr>
          <w:rFonts w:eastAsia="Arial" w:cs="Arial" w:ascii="Noto Serif" w:hAnsi="Noto Serif"/>
          <w:i/>
          <w:color w:val="000000"/>
          <w:spacing w:val="0"/>
          <w:sz w:val="20"/>
          <w:szCs w:val="20"/>
          <w:shd w:fill="auto" w:val="clear"/>
        </w:rPr>
        <w:t>ad nutum</w:t>
      </w:r>
      <w:r>
        <w:rPr>
          <w:rFonts w:eastAsia="Arial" w:cs="Arial" w:ascii="Noto Serif" w:hAnsi="Noto Serif"/>
          <w:color w:val="000000"/>
          <w:spacing w:val="0"/>
          <w:sz w:val="20"/>
          <w:szCs w:val="20"/>
          <w:shd w:fill="auto" w:val="clear"/>
        </w:rPr>
        <w:t xml:space="preserve">, somente podendo ser afastados de suas funções depois de julgados em processo administrativo, culpados por falta grave ou infração punível com demissão, ou em caso de vacância, assim entendida a ausência não justificada em </w:t>
      </w:r>
      <w:r>
        <w:rPr>
          <w:rFonts w:eastAsia="Arial" w:cs="Arial" w:ascii="Noto Serif" w:hAnsi="Noto Serif"/>
          <w:color w:val="000000"/>
          <w:spacing w:val="0"/>
          <w:sz w:val="20"/>
          <w:szCs w:val="20"/>
          <w:shd w:fill="auto" w:val="clear"/>
        </w:rPr>
        <w:t>03</w:t>
      </w:r>
      <w:r>
        <w:rPr>
          <w:rFonts w:eastAsia="Arial" w:cs="Arial" w:ascii="Noto Serif" w:hAnsi="Noto Serif"/>
          <w:color w:val="000000"/>
          <w:spacing w:val="0"/>
          <w:sz w:val="20"/>
          <w:szCs w:val="20"/>
          <w:shd w:fill="auto" w:val="clear"/>
        </w:rPr>
        <w:t xml:space="preserve"> </w:t>
      </w:r>
      <w:r>
        <w:rPr>
          <w:rFonts w:eastAsia="Arial" w:cs="Arial" w:ascii="Noto Serif" w:hAnsi="Noto Serif"/>
          <w:color w:val="000000"/>
          <w:spacing w:val="0"/>
          <w:sz w:val="20"/>
          <w:szCs w:val="20"/>
          <w:shd w:fill="auto" w:val="clear"/>
        </w:rPr>
        <w:t>(</w:t>
      </w:r>
      <w:r>
        <w:rPr>
          <w:rFonts w:eastAsia="Arial" w:cs="Arial" w:ascii="Noto Serif" w:hAnsi="Noto Serif"/>
          <w:color w:val="000000"/>
          <w:spacing w:val="0"/>
          <w:sz w:val="20"/>
          <w:szCs w:val="20"/>
          <w:shd w:fill="auto" w:val="clear"/>
        </w:rPr>
        <w:t>três</w:t>
      </w:r>
      <w:r>
        <w:rPr>
          <w:rFonts w:eastAsia="Arial" w:cs="Arial" w:ascii="Noto Serif" w:hAnsi="Noto Serif"/>
          <w:color w:val="000000"/>
          <w:spacing w:val="0"/>
          <w:sz w:val="20"/>
          <w:szCs w:val="20"/>
          <w:shd w:fill="auto" w:val="clear"/>
        </w:rPr>
        <w:t>)</w:t>
      </w:r>
      <w:r>
        <w:rPr>
          <w:rFonts w:eastAsia="Arial" w:cs="Arial" w:ascii="Noto Serif" w:hAnsi="Noto Serif"/>
          <w:color w:val="000000"/>
          <w:spacing w:val="0"/>
          <w:sz w:val="20"/>
          <w:szCs w:val="20"/>
          <w:shd w:fill="auto" w:val="clear"/>
        </w:rPr>
        <w:t xml:space="preserve"> reuniões consecutivas ou em </w:t>
      </w:r>
      <w:r>
        <w:rPr>
          <w:rFonts w:eastAsia="Arial" w:cs="Arial" w:ascii="Noto Serif" w:hAnsi="Noto Serif"/>
          <w:color w:val="000000"/>
          <w:spacing w:val="0"/>
          <w:sz w:val="20"/>
          <w:szCs w:val="20"/>
          <w:shd w:fill="auto" w:val="clear"/>
        </w:rPr>
        <w:t>04 (</w:t>
      </w:r>
      <w:r>
        <w:rPr>
          <w:rFonts w:eastAsia="Arial" w:cs="Arial" w:ascii="Noto Serif" w:hAnsi="Noto Serif"/>
          <w:color w:val="000000"/>
          <w:spacing w:val="0"/>
          <w:sz w:val="20"/>
          <w:szCs w:val="20"/>
          <w:shd w:fill="auto" w:val="clear"/>
        </w:rPr>
        <w:t>quatro</w:t>
      </w:r>
      <w:r>
        <w:rPr>
          <w:rFonts w:eastAsia="Arial" w:cs="Arial" w:ascii="Noto Serif" w:hAnsi="Noto Serif"/>
          <w:color w:val="000000"/>
          <w:spacing w:val="0"/>
          <w:sz w:val="20"/>
          <w:szCs w:val="20"/>
          <w:shd w:fill="auto" w:val="clear"/>
        </w:rPr>
        <w:t>)</w:t>
      </w:r>
      <w:r>
        <w:rPr>
          <w:rFonts w:eastAsia="Arial" w:cs="Arial" w:ascii="Noto Serif" w:hAnsi="Noto Serif"/>
          <w:color w:val="000000"/>
          <w:spacing w:val="0"/>
          <w:sz w:val="20"/>
          <w:szCs w:val="20"/>
          <w:shd w:fill="auto" w:val="clear"/>
        </w:rPr>
        <w:t xml:space="preserve"> intercaladas no mesmo ano.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t>§ 6º Serão definidas em decreto as demais condições de funcionamento do Comitê de Assessoramento de Previdência Complementar – CAPC, aí incluída a definição dos requisitos técnicos mínimos e experiência profissional referidos no § 3º.</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CAPÍTULO V</w:t>
      </w:r>
    </w:p>
    <w:p>
      <w:pPr>
        <w:pStyle w:val="Normal"/>
        <w:spacing w:lineRule="auto" w:line="360" w:before="0" w:after="0"/>
        <w:ind w:left="0" w:right="0" w:hanging="0"/>
        <w:jc w:val="center"/>
        <w:rPr>
          <w:sz w:val="20"/>
          <w:szCs w:val="20"/>
        </w:rPr>
      </w:pPr>
      <w:r>
        <w:rPr>
          <w:rFonts w:eastAsia="Arial" w:cs="Arial" w:ascii="Noto Serif" w:hAnsi="Noto Serif"/>
          <w:b/>
          <w:color w:val="000000"/>
          <w:spacing w:val="0"/>
          <w:sz w:val="20"/>
          <w:szCs w:val="20"/>
          <w:shd w:fill="auto" w:val="clear"/>
        </w:rPr>
        <w:t>DISPOSIÇÕES FINAIS E TRANSITÓRIAS</w:t>
      </w:r>
    </w:p>
    <w:p>
      <w:pPr>
        <w:pStyle w:val="Normal"/>
        <w:spacing w:lineRule="auto" w:line="360" w:before="0" w:after="0"/>
        <w:ind w:left="0" w:right="0" w:hanging="0"/>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25</w:t>
      </w:r>
      <w:r>
        <w:rPr>
          <w:rFonts w:eastAsia="Arial" w:cs="Arial" w:ascii="Noto Serif" w:hAnsi="Noto Serif"/>
          <w:color w:val="000000"/>
          <w:spacing w:val="0"/>
          <w:sz w:val="20"/>
          <w:szCs w:val="20"/>
          <w:shd w:fill="auto" w:val="clear"/>
        </w:rPr>
        <w:t>. Lei específica poderá dispor acerca de medidas de compensação como forma de incentivo para que os servidores de que trata o art. 6º desta Lei optem pela sua filiação ao Regime de Previdência Complementar – RPC mediante a adesão ao plano de benefícios.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xml:space="preserve">. Dar-se-á preferência para atingir o objetivo referido no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sempre considerando a avaliação técnica da viabilidade e dos impactos da medida, ao aporte extraordinário pelo patrocinador, como forma de potencializar a capitalização individual dos servidores que optarem pela migração.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26</w:t>
      </w:r>
      <w:r>
        <w:rPr>
          <w:rFonts w:eastAsia="Arial" w:cs="Arial" w:ascii="Noto Serif" w:hAnsi="Noto Serif"/>
          <w:color w:val="000000"/>
          <w:spacing w:val="0"/>
          <w:sz w:val="20"/>
          <w:szCs w:val="20"/>
          <w:shd w:fill="auto" w:val="clear"/>
        </w:rPr>
        <w:t>. Fica o patrocinador autorizado a promover, se for o caso, aporte inicial ao plano de benefícios, a título de adiantamento de contribuições futuras, o qual deverá ser compensado ou restituído conforme regras que deverão constar de forma expressa no convênio de adesão.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Parágrafo único</w:t>
      </w:r>
      <w:r>
        <w:rPr>
          <w:rFonts w:eastAsia="Arial" w:cs="Arial" w:ascii="Noto Serif" w:hAnsi="Noto Serif"/>
          <w:color w:val="000000"/>
          <w:spacing w:val="0"/>
          <w:sz w:val="20"/>
          <w:szCs w:val="20"/>
          <w:shd w:fill="auto" w:val="clear"/>
        </w:rPr>
        <w:t xml:space="preserve">. O suporte orçamentário para a medida deverá ser providenciado, </w:t>
      </w:r>
      <w:r>
        <w:rPr>
          <w:rFonts w:eastAsia="Arial" w:cs="Arial" w:ascii="Noto Serif" w:hAnsi="Noto Serif"/>
          <w:color w:val="000000"/>
          <w:spacing w:val="0"/>
          <w:sz w:val="20"/>
          <w:szCs w:val="20"/>
          <w:shd w:fill="auto" w:val="clear"/>
        </w:rPr>
        <w:t>caso</w:t>
      </w:r>
      <w:r>
        <w:rPr>
          <w:rFonts w:eastAsia="Arial" w:cs="Arial" w:ascii="Noto Serif" w:hAnsi="Noto Serif"/>
          <w:color w:val="000000"/>
          <w:spacing w:val="0"/>
          <w:sz w:val="20"/>
          <w:szCs w:val="20"/>
          <w:shd w:fill="auto" w:val="clear"/>
        </w:rPr>
        <w:t xml:space="preserve"> necessário, mediante a abertura de créditos adicionais.</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27</w:t>
      </w:r>
      <w:r>
        <w:rPr>
          <w:rFonts w:eastAsia="Arial" w:cs="Arial" w:ascii="Noto Serif" w:hAnsi="Noto Serif"/>
          <w:color w:val="000000"/>
          <w:spacing w:val="0"/>
          <w:sz w:val="20"/>
          <w:szCs w:val="20"/>
          <w:shd w:fill="auto" w:val="clear"/>
        </w:rPr>
        <w:t xml:space="preserve">. A instituição do Comitê de Assessoramento de Previdência Complementar – CAPC de que trata o </w:t>
      </w:r>
      <w:r>
        <w:rPr>
          <w:rFonts w:eastAsia="Arial" w:cs="Arial" w:ascii="Noto Serif" w:hAnsi="Noto Serif"/>
          <w:i/>
          <w:color w:val="000000"/>
          <w:spacing w:val="0"/>
          <w:sz w:val="20"/>
          <w:szCs w:val="20"/>
          <w:shd w:fill="auto" w:val="clear"/>
        </w:rPr>
        <w:t>caput</w:t>
      </w:r>
      <w:r>
        <w:rPr>
          <w:rFonts w:eastAsia="Arial" w:cs="Arial" w:ascii="Noto Serif" w:hAnsi="Noto Serif"/>
          <w:color w:val="000000"/>
          <w:spacing w:val="0"/>
          <w:sz w:val="20"/>
          <w:szCs w:val="20"/>
          <w:shd w:fill="auto" w:val="clear"/>
        </w:rPr>
        <w:t xml:space="preserve"> do art. 23 desta Lei, ou a delegação prevista pelo seu § 2º, deverá ocorrer em até 180 </w:t>
      </w:r>
      <w:r>
        <w:rPr>
          <w:rFonts w:eastAsia="Arial" w:cs="Arial" w:ascii="Noto Serif" w:hAnsi="Noto Serif"/>
          <w:color w:val="000000"/>
          <w:spacing w:val="0"/>
          <w:sz w:val="20"/>
          <w:szCs w:val="20"/>
          <w:shd w:fill="auto" w:val="clear"/>
        </w:rPr>
        <w:t>(cento e oitenta)</w:t>
      </w:r>
      <w:r>
        <w:rPr>
          <w:rFonts w:eastAsia="Arial" w:cs="Arial" w:ascii="Noto Serif" w:hAnsi="Noto Serif"/>
          <w:color w:val="000000"/>
          <w:spacing w:val="0"/>
          <w:sz w:val="20"/>
          <w:szCs w:val="20"/>
          <w:shd w:fill="auto" w:val="clear"/>
        </w:rPr>
        <w:t xml:space="preserve"> dias contados da vigência do Regime de Previdência Complementar – RPC.</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28</w:t>
      </w:r>
      <w:r>
        <w:rPr>
          <w:rFonts w:eastAsia="Arial" w:cs="Arial" w:ascii="Noto Serif" w:hAnsi="Noto Serif"/>
          <w:color w:val="000000"/>
          <w:spacing w:val="0"/>
          <w:sz w:val="20"/>
          <w:szCs w:val="20"/>
          <w:shd w:fill="auto" w:val="clear"/>
        </w:rPr>
        <w:t>. As despesas decorrentes da execução desta Lei correrão à conta de recursos consignados no orçamento do Município.</w:t>
      </w:r>
    </w:p>
    <w:p>
      <w:pPr>
        <w:pStyle w:val="Normal"/>
        <w:spacing w:lineRule="auto" w:line="360" w:before="0" w:after="0"/>
        <w:ind w:left="0" w:right="0" w:firstLine="1418"/>
        <w:jc w:val="both"/>
        <w:rPr>
          <w:rFonts w:ascii="Noto Serif" w:hAnsi="Noto Serif" w:eastAsia="Arial" w:cs="Arial"/>
          <w:color w:val="auto"/>
          <w:spacing w:val="0"/>
          <w:sz w:val="12"/>
          <w:szCs w:val="12"/>
        </w:rPr>
      </w:pPr>
      <w:r>
        <w:rPr>
          <w:rFonts w:eastAsia="Arial" w:cs="Arial" w:ascii="Noto Serif" w:hAnsi="Noto Serif"/>
          <w:color w:val="auto"/>
          <w:spacing w:val="0"/>
          <w:sz w:val="12"/>
          <w:szCs w:val="12"/>
        </w:rPr>
      </w:r>
    </w:p>
    <w:p>
      <w:pPr>
        <w:pStyle w:val="Normal"/>
        <w:spacing w:lineRule="auto" w:line="360" w:before="0" w:after="0"/>
        <w:ind w:left="0" w:right="0" w:hanging="0"/>
        <w:jc w:val="both"/>
        <w:rPr>
          <w:sz w:val="20"/>
          <w:szCs w:val="20"/>
        </w:rPr>
      </w:pPr>
      <w:r>
        <w:rPr>
          <w:rFonts w:eastAsia="Arial" w:cs="Arial" w:ascii="Noto Serif" w:hAnsi="Noto Serif"/>
          <w:color w:val="000000"/>
          <w:spacing w:val="0"/>
          <w:sz w:val="20"/>
          <w:szCs w:val="20"/>
          <w:shd w:fill="auto" w:val="clear"/>
        </w:rPr>
        <w:tab/>
      </w:r>
      <w:r>
        <w:rPr>
          <w:rFonts w:eastAsia="Arial" w:cs="Arial" w:ascii="Noto Serif" w:hAnsi="Noto Serif"/>
          <w:b/>
          <w:bCs/>
          <w:color w:val="000000"/>
          <w:spacing w:val="0"/>
          <w:sz w:val="20"/>
          <w:szCs w:val="20"/>
          <w:shd w:fill="auto" w:val="clear"/>
        </w:rPr>
        <w:t>Art. 29</w:t>
      </w:r>
      <w:r>
        <w:rPr>
          <w:rFonts w:eastAsia="Arial" w:cs="Arial" w:ascii="Noto Serif" w:hAnsi="Noto Serif"/>
          <w:color w:val="000000"/>
          <w:spacing w:val="0"/>
          <w:sz w:val="20"/>
          <w:szCs w:val="20"/>
          <w:shd w:fill="auto" w:val="clear"/>
        </w:rPr>
        <w:t>. Esta Lei entra em vigor na data de sua publicação.</w:t>
      </w:r>
    </w:p>
    <w:p>
      <w:pPr>
        <w:pStyle w:val="Normal"/>
        <w:spacing w:lineRule="auto" w:line="360"/>
        <w:ind w:left="0" w:right="0" w:hanging="0"/>
        <w:jc w:val="both"/>
        <w:rPr>
          <w:rFonts w:eastAsia="Liberation Serif;Times New Roman" w:cs="Noto Serif"/>
          <w:b/>
          <w:b/>
          <w:bCs/>
          <w:sz w:val="20"/>
          <w:szCs w:val="20"/>
        </w:rPr>
      </w:pPr>
      <w:r>
        <w:rPr>
          <w:rFonts w:eastAsia="Liberation Serif;Times New Roman" w:cs="Noto Serif"/>
          <w:b/>
          <w:bCs/>
          <w:sz w:val="20"/>
          <w:szCs w:val="20"/>
        </w:rPr>
      </w:r>
    </w:p>
    <w:p>
      <w:pPr>
        <w:pStyle w:val="Normal"/>
        <w:spacing w:lineRule="auto" w:line="360"/>
        <w:ind w:left="0" w:right="0" w:hanging="0"/>
        <w:jc w:val="both"/>
        <w:rPr>
          <w:sz w:val="20"/>
          <w:szCs w:val="20"/>
        </w:rPr>
      </w:pPr>
      <w:r>
        <w:rPr>
          <w:rFonts w:eastAsia="Liberation Serif;Times New Roman" w:cs="Noto Serif" w:ascii="Noto Serif" w:hAnsi="Noto Serif"/>
          <w:b/>
          <w:bCs/>
          <w:sz w:val="20"/>
          <w:szCs w:val="20"/>
        </w:rPr>
        <w:tab/>
        <w:t xml:space="preserve">GABINETE DO PREFEITO MUNICIPAL DE </w:t>
      </w:r>
      <w:r>
        <w:rPr>
          <w:rFonts w:cs="Noto Serif" w:ascii="Noto Serif" w:hAnsi="Noto Serif"/>
          <w:b/>
          <w:bCs/>
          <w:sz w:val="20"/>
          <w:szCs w:val="20"/>
        </w:rPr>
        <w:t>DOIS IRMÃOS/RS, 17 DE AGOSTO DE 2021.</w:t>
      </w:r>
    </w:p>
    <w:p>
      <w:pPr>
        <w:pStyle w:val="Normal"/>
        <w:ind w:left="602" w:right="0" w:hanging="0"/>
        <w:rPr>
          <w:rFonts w:ascii="Noto Serif" w:hAnsi="Noto Serif" w:cs="Liberation Serif;Times New Roman"/>
          <w:sz w:val="20"/>
          <w:szCs w:val="20"/>
        </w:rPr>
      </w:pPr>
      <w:r>
        <w:rPr>
          <w:rFonts w:cs="Liberation Serif;Times New Roman" w:ascii="Noto Serif" w:hAnsi="Noto Serif"/>
          <w:sz w:val="20"/>
          <w:szCs w:val="20"/>
        </w:rPr>
      </w:r>
    </w:p>
    <w:tbl>
      <w:tblPr>
        <w:tblW w:w="9240" w:type="dxa"/>
        <w:jc w:val="left"/>
        <w:tblInd w:w="0" w:type="dxa"/>
        <w:tblLayout w:type="fixed"/>
        <w:tblCellMar>
          <w:top w:w="0" w:type="dxa"/>
          <w:left w:w="70" w:type="dxa"/>
          <w:bottom w:w="0" w:type="dxa"/>
          <w:right w:w="70" w:type="dxa"/>
        </w:tblCellMar>
      </w:tblPr>
      <w:tblGrid>
        <w:gridCol w:w="3804"/>
        <w:gridCol w:w="5435"/>
      </w:tblGrid>
      <w:tr>
        <w:trPr>
          <w:trHeight w:val="1071" w:hRule="atLeast"/>
        </w:trPr>
        <w:tc>
          <w:tcPr>
            <w:tcW w:w="3804" w:type="dxa"/>
            <w:tcBorders/>
          </w:tcPr>
          <w:p>
            <w:pPr>
              <w:pStyle w:val="SemEspaamento"/>
              <w:widowControl w:val="false"/>
              <w:snapToGrid w:val="false"/>
              <w:spacing w:lineRule="auto" w:line="360"/>
              <w:rPr>
                <w:rFonts w:ascii="Noto Serif" w:hAnsi="Noto Serif" w:cs="Liberation Serif;Times New Roman"/>
                <w:b/>
                <w:b/>
                <w:bCs/>
                <w:sz w:val="20"/>
                <w:szCs w:val="20"/>
              </w:rPr>
            </w:pPr>
            <w:r>
              <w:rPr>
                <w:rFonts w:cs="Liberation Serif;Times New Roman" w:ascii="Noto Serif" w:hAnsi="Noto Serif"/>
                <w:b/>
                <w:bCs/>
                <w:sz w:val="20"/>
                <w:szCs w:val="20"/>
              </w:rPr>
            </w:r>
          </w:p>
        </w:tc>
        <w:tc>
          <w:tcPr>
            <w:tcW w:w="5435" w:type="dxa"/>
            <w:tcBorders/>
          </w:tcPr>
          <w:p>
            <w:pPr>
              <w:pStyle w:val="Normal"/>
              <w:widowControl w:val="false"/>
              <w:spacing w:lineRule="auto" w:line="360"/>
              <w:jc w:val="right"/>
              <w:rPr>
                <w:rFonts w:ascii="Noto Serif" w:hAnsi="Noto Serif" w:eastAsia="Times New Roman" w:cs="Liberation Serif;Times New Roman"/>
                <w:b/>
                <w:b/>
                <w:sz w:val="20"/>
                <w:szCs w:val="20"/>
                <w:lang w:eastAsia="pt-BR"/>
              </w:rPr>
            </w:pPr>
            <w:r>
              <w:rPr>
                <w:rFonts w:eastAsia="Times New Roman" w:cs="Liberation Serif;Times New Roman" w:ascii="Noto Serif" w:hAnsi="Noto Serif"/>
                <w:b/>
                <w:sz w:val="20"/>
                <w:szCs w:val="20"/>
                <w:lang w:eastAsia="pt-BR"/>
              </w:rPr>
              <w:t>JERRI ADRIANI MENEGHETTI,</w:t>
            </w:r>
          </w:p>
          <w:p>
            <w:pPr>
              <w:pStyle w:val="Normal"/>
              <w:widowControl w:val="false"/>
              <w:tabs>
                <w:tab w:val="clear" w:pos="709"/>
                <w:tab w:val="left" w:pos="1305" w:leader="none"/>
              </w:tabs>
              <w:spacing w:lineRule="auto" w:line="360" w:before="75" w:after="15"/>
              <w:ind w:left="15" w:right="15" w:hanging="0"/>
              <w:jc w:val="right"/>
              <w:rPr>
                <w:rFonts w:ascii="Noto Serif" w:hAnsi="Noto Serif" w:eastAsia="Times New Roman" w:cs="Liberation Serif;Times New Roman"/>
                <w:b/>
                <w:b/>
                <w:bCs/>
                <w:sz w:val="20"/>
                <w:szCs w:val="20"/>
                <w:lang w:eastAsia="pt-BR"/>
              </w:rPr>
            </w:pPr>
            <w:r>
              <w:rPr>
                <w:rFonts w:eastAsia="Times New Roman" w:cs="Liberation Serif;Times New Roman" w:ascii="Noto Serif" w:hAnsi="Noto Serif"/>
                <w:b/>
                <w:bCs/>
                <w:sz w:val="20"/>
                <w:szCs w:val="20"/>
                <w:lang w:eastAsia="pt-BR"/>
              </w:rPr>
              <w:t>PREFEITO MUNICIPAL.</w:t>
            </w:r>
          </w:p>
        </w:tc>
      </w:tr>
    </w:tbl>
    <w:p>
      <w:pPr>
        <w:pStyle w:val="Normal"/>
        <w:widowControl/>
        <w:spacing w:lineRule="auto" w:line="360" w:before="0" w:after="0"/>
        <w:ind w:left="0" w:right="0" w:hanging="0"/>
        <w:jc w:val="center"/>
        <w:rPr>
          <w:rFonts w:ascii="Noto Serif" w:hAnsi="Noto Serif" w:eastAsia="Arial" w:cs="Arial"/>
          <w:color w:val="000000"/>
          <w:spacing w:val="0"/>
          <w:sz w:val="20"/>
          <w:szCs w:val="20"/>
          <w:shd w:fill="auto" w:val="clear"/>
        </w:rPr>
      </w:pPr>
      <w:r>
        <w:rPr>
          <w:rFonts w:eastAsia="Arial" w:cs="Arial" w:ascii="Noto Serif" w:hAnsi="Noto Serif"/>
          <w:color w:val="000000"/>
          <w:spacing w:val="0"/>
          <w:sz w:val="20"/>
          <w:szCs w:val="20"/>
          <w:shd w:fill="auto" w:val="clear"/>
        </w:rPr>
      </w:r>
    </w:p>
    <w:p>
      <w:pPr>
        <w:pStyle w:val="Normal"/>
        <w:spacing w:lineRule="auto" w:line="360" w:before="0" w:after="200"/>
        <w:ind w:left="0" w:right="-680" w:firstLine="1077"/>
        <w:jc w:val="both"/>
        <w:rPr>
          <w:rFonts w:ascii="Noto Serif" w:hAnsi="Noto Serif" w:eastAsia="Calibri" w:cs="Calibri"/>
          <w:color w:val="auto"/>
          <w:spacing w:val="0"/>
          <w:sz w:val="22"/>
          <w:szCs w:val="22"/>
        </w:rPr>
      </w:pPr>
      <w:r>
        <w:rPr>
          <w:rFonts w:eastAsia="Calibri" w:cs="Calibri" w:ascii="Noto Serif" w:hAnsi="Noto Serif"/>
          <w:color w:val="auto"/>
          <w:spacing w:val="0"/>
          <w:sz w:val="22"/>
          <w:szCs w:val="22"/>
        </w:rPr>
      </w:r>
    </w:p>
    <w:p>
      <w:pPr>
        <w:pStyle w:val="NormalWeb"/>
        <w:tabs>
          <w:tab w:val="clear" w:pos="709"/>
          <w:tab w:val="left" w:pos="11" w:leader="none"/>
        </w:tabs>
        <w:spacing w:lineRule="auto" w:line="360" w:before="0" w:after="120"/>
        <w:jc w:val="center"/>
        <w:rPr/>
      </w:pPr>
      <w:r>
        <w:rPr>
          <w:rStyle w:val="LinkdaInternet"/>
          <w:rFonts w:eastAsia="Times New Roman" w:cs="Times New Roman" w:ascii="Noto Serif" w:hAnsi="Noto Serif"/>
          <w:b/>
          <w:bCs/>
          <w:i w:val="false"/>
          <w:iCs w:val="false"/>
          <w:caps w:val="false"/>
          <w:smallCaps w:val="false"/>
          <w:color w:val="auto"/>
          <w:spacing w:val="0"/>
          <w:kern w:val="2"/>
          <w:sz w:val="22"/>
          <w:szCs w:val="22"/>
          <w:u w:val="none"/>
          <w:lang w:eastAsia="ar-SA" w:bidi="ar-SA"/>
        </w:rPr>
        <w:t xml:space="preserve">EXPOSIÇÃO DE MOTIVOS </w:t>
      </w:r>
    </w:p>
    <w:p>
      <w:pPr>
        <w:pStyle w:val="NormalWeb"/>
        <w:tabs>
          <w:tab w:val="clear" w:pos="709"/>
          <w:tab w:val="left" w:pos="11" w:leader="none"/>
        </w:tabs>
        <w:spacing w:lineRule="auto" w:line="360" w:before="0" w:after="120"/>
        <w:jc w:val="both"/>
        <w:rPr/>
      </w:pPr>
      <w:r>
        <w:rPr>
          <w:rStyle w:val="LinkdaInternet"/>
          <w:rFonts w:eastAsia="Times New Roman" w:cs="Times New Roman" w:ascii="Noto Serif" w:hAnsi="Noto Serif"/>
          <w:b/>
          <w:bCs/>
          <w:i w:val="false"/>
          <w:iCs w:val="false"/>
          <w:caps w:val="false"/>
          <w:smallCaps w:val="false"/>
          <w:color w:val="auto"/>
          <w:spacing w:val="0"/>
          <w:kern w:val="2"/>
          <w:sz w:val="22"/>
          <w:szCs w:val="22"/>
          <w:u w:val="none"/>
          <w:lang w:eastAsia="ar-SA" w:bidi="ar-SA"/>
        </w:rPr>
        <w:tab/>
        <w:tab/>
      </w:r>
      <w:r>
        <w:rPr>
          <w:rStyle w:val="LinkdaInternet"/>
          <w:rFonts w:eastAsia="Times New Roman" w:cs="Noto Serif" w:ascii="Noto Serif" w:hAnsi="Noto Serif"/>
          <w:b w:val="false"/>
          <w:bCs w:val="false"/>
          <w:i w:val="false"/>
          <w:iCs w:val="false"/>
          <w:caps w:val="false"/>
          <w:smallCaps w:val="false"/>
          <w:color w:val="auto"/>
          <w:spacing w:val="0"/>
          <w:kern w:val="2"/>
          <w:sz w:val="22"/>
          <w:szCs w:val="22"/>
          <w:u w:val="none"/>
          <w:lang w:eastAsia="pt-BR" w:bidi="ar-SA"/>
        </w:rPr>
        <w:t xml:space="preserve">Encaminhamos o presente Projeto de Lei nº 091/2021 que </w:t>
      </w:r>
      <w:r>
        <w:rPr>
          <w:rStyle w:val="LinkdaInternet"/>
          <w:rFonts w:eastAsia="Times New Roman" w:cs="Noto Serif" w:ascii="Noto Serif" w:hAnsi="Noto Serif"/>
          <w:b/>
          <w:bCs/>
          <w:i w:val="false"/>
          <w:iCs w:val="false"/>
          <w:caps w:val="false"/>
          <w:smallCaps w:val="false"/>
          <w:color w:val="auto"/>
          <w:spacing w:val="0"/>
          <w:kern w:val="2"/>
          <w:sz w:val="22"/>
          <w:szCs w:val="22"/>
          <w:u w:val="none"/>
          <w:lang w:eastAsia="pt-BR" w:bidi="ar-SA"/>
        </w:rPr>
        <w:t>“</w:t>
      </w:r>
      <w:r>
        <w:rPr>
          <w:rStyle w:val="LinkdaInternet"/>
          <w:rFonts w:eastAsia="Liberation Serif" w:cs="Liberation Serif" w:ascii="Noto Serif" w:hAnsi="Noto Serif"/>
          <w:b/>
          <w:bCs/>
          <w:i w:val="false"/>
          <w:iCs w:val="false"/>
          <w:caps w:val="false"/>
          <w:smallCaps w:val="false"/>
          <w:color w:val="000000"/>
          <w:spacing w:val="0"/>
          <w:kern w:val="2"/>
          <w:sz w:val="22"/>
          <w:szCs w:val="22"/>
          <w:u w:val="none"/>
          <w:shd w:fill="auto" w:val="clear"/>
          <w:lang w:eastAsia="pt-BR" w:bidi="ar-SA"/>
        </w:rPr>
        <w:t>DISPÕE SOBRE O REGIME DE PREVIDÊNCIA COMPLEMENTAR – RPC NO ÂMBITO DO MUNICÍPIO DE DOIS IRMÃOS E DÁ OUTRAS PROVIDÊNCIAS</w:t>
      </w:r>
      <w:r>
        <w:rPr>
          <w:rStyle w:val="LinkdaInternet"/>
          <w:rFonts w:eastAsia="Times New Roman" w:cs="Noto Serif" w:ascii="Noto Serif" w:hAnsi="Noto Serif"/>
          <w:b/>
          <w:bCs/>
          <w:i/>
          <w:iCs/>
          <w:caps w:val="false"/>
          <w:smallCaps w:val="false"/>
          <w:color w:val="auto"/>
          <w:spacing w:val="0"/>
          <w:kern w:val="2"/>
          <w:sz w:val="22"/>
          <w:szCs w:val="22"/>
          <w:u w:val="none"/>
          <w:lang w:eastAsia="pt-BR" w:bidi="ar-SA"/>
        </w:rPr>
        <w:t>”</w:t>
      </w:r>
      <w:r>
        <w:rPr>
          <w:rStyle w:val="LinkdaInternet"/>
          <w:rFonts w:eastAsia="Times New Roman" w:cs="Noto Serif" w:ascii="Noto Serif" w:hAnsi="Noto Serif"/>
          <w:b/>
          <w:bCs/>
          <w:i w:val="false"/>
          <w:iCs w:val="false"/>
          <w:caps w:val="false"/>
          <w:smallCaps w:val="false"/>
          <w:color w:val="auto"/>
          <w:spacing w:val="0"/>
          <w:kern w:val="2"/>
          <w:sz w:val="22"/>
          <w:szCs w:val="22"/>
          <w:u w:val="none"/>
          <w:lang w:eastAsia="pt-BR" w:bidi="ar-SA"/>
        </w:rPr>
        <w:t>,</w:t>
      </w:r>
      <w:r>
        <w:rPr>
          <w:rStyle w:val="LinkdaInternet"/>
          <w:rFonts w:eastAsia="Times New Roman" w:cs="Noto Serif" w:ascii="Noto Serif" w:hAnsi="Noto Serif"/>
          <w:b/>
          <w:bCs w:val="false"/>
          <w:i w:val="false"/>
          <w:iCs w:val="false"/>
          <w:caps w:val="false"/>
          <w:smallCaps w:val="false"/>
          <w:color w:val="auto"/>
          <w:spacing w:val="0"/>
          <w:kern w:val="2"/>
          <w:sz w:val="22"/>
          <w:szCs w:val="22"/>
          <w:u w:val="none"/>
          <w:lang w:eastAsia="pt-BR" w:bidi="ar-SA"/>
        </w:rPr>
        <w:t xml:space="preserve"> </w:t>
      </w:r>
      <w:r>
        <w:rPr>
          <w:rStyle w:val="LinkdaInternet"/>
          <w:rFonts w:eastAsia="Times New Roman" w:cs="Noto Serif" w:ascii="Noto Serif" w:hAnsi="Noto Serif"/>
          <w:b w:val="false"/>
          <w:bCs w:val="false"/>
          <w:i w:val="false"/>
          <w:iCs w:val="false"/>
          <w:caps w:val="false"/>
          <w:smallCaps w:val="false"/>
          <w:color w:val="auto"/>
          <w:spacing w:val="0"/>
          <w:kern w:val="2"/>
          <w:sz w:val="22"/>
          <w:szCs w:val="22"/>
          <w:u w:val="none"/>
          <w:lang w:eastAsia="pt-BR" w:bidi="ar-SA"/>
        </w:rPr>
        <w:t xml:space="preserve">para apreciação e deliberação dos senhores </w:t>
      </w:r>
      <w:r>
        <w:rPr>
          <w:rStyle w:val="LinkdaInternet"/>
          <w:rFonts w:eastAsia="Times New Roman" w:cs="Noto Serif" w:ascii="Noto Serif" w:hAnsi="Noto Serif"/>
          <w:b w:val="false"/>
          <w:bCs w:val="false"/>
          <w:i/>
          <w:iCs w:val="false"/>
          <w:caps w:val="false"/>
          <w:smallCaps w:val="false"/>
          <w:color w:val="auto"/>
          <w:spacing w:val="0"/>
          <w:kern w:val="2"/>
          <w:sz w:val="22"/>
          <w:szCs w:val="22"/>
          <w:u w:val="none"/>
          <w:lang w:eastAsia="pt-BR" w:bidi="ar-SA"/>
        </w:rPr>
        <w:t>Edis</w:t>
      </w:r>
      <w:r>
        <w:rPr>
          <w:rStyle w:val="LinkdaInternet"/>
          <w:rFonts w:eastAsia="Times New Roman" w:cs="Noto Serif" w:ascii="Noto Serif" w:hAnsi="Noto Serif"/>
          <w:b w:val="false"/>
          <w:bCs w:val="false"/>
          <w:i w:val="false"/>
          <w:iCs w:val="false"/>
          <w:caps w:val="false"/>
          <w:smallCaps w:val="false"/>
          <w:color w:val="auto"/>
          <w:spacing w:val="0"/>
          <w:kern w:val="2"/>
          <w:sz w:val="22"/>
          <w:szCs w:val="22"/>
          <w:u w:val="none"/>
          <w:lang w:eastAsia="pt-BR" w:bidi="ar-SA"/>
        </w:rPr>
        <w:t>.</w:t>
      </w:r>
    </w:p>
    <w:p>
      <w:pPr>
        <w:pStyle w:val="NormalWeb"/>
        <w:tabs>
          <w:tab w:val="clear" w:pos="709"/>
          <w:tab w:val="left" w:pos="11" w:leader="none"/>
        </w:tabs>
        <w:spacing w:lineRule="auto" w:line="360" w:before="0" w:after="120"/>
        <w:jc w:val="both"/>
        <w:rPr>
          <w:rStyle w:val="LinkdaInternet"/>
          <w:rFonts w:ascii="Noto Serif" w:hAnsi="Noto Serif" w:eastAsia="Times New Roman" w:cs="Times New Roman"/>
          <w:b/>
          <w:b/>
          <w:bCs/>
          <w:i w:val="false"/>
          <w:i w:val="false"/>
          <w:iCs w:val="false"/>
          <w:caps w:val="false"/>
          <w:smallCaps w:val="false"/>
          <w:color w:val="auto"/>
          <w:spacing w:val="0"/>
          <w:kern w:val="2"/>
          <w:sz w:val="4"/>
          <w:szCs w:val="4"/>
          <w:u w:val="none"/>
          <w:lang w:eastAsia="ar-SA" w:bidi="ar-SA"/>
        </w:rPr>
      </w:pPr>
      <w:r>
        <w:rPr>
          <w:rFonts w:eastAsia="Times New Roman" w:cs="Times New Roman" w:ascii="Noto Serif" w:hAnsi="Noto Serif"/>
          <w:b/>
          <w:bCs/>
          <w:i w:val="false"/>
          <w:iCs w:val="false"/>
          <w:caps w:val="false"/>
          <w:smallCaps w:val="false"/>
          <w:color w:val="auto"/>
          <w:spacing w:val="0"/>
          <w:kern w:val="2"/>
          <w:sz w:val="4"/>
          <w:szCs w:val="4"/>
          <w:u w:val="none"/>
          <w:lang w:eastAsia="ar-SA" w:bidi="ar-SA"/>
        </w:rPr>
      </w:r>
    </w:p>
    <w:p>
      <w:pPr>
        <w:pStyle w:val="Normal"/>
        <w:spacing w:lineRule="auto" w:line="360"/>
        <w:ind w:left="0" w:right="0" w:firstLine="709"/>
        <w:jc w:val="both"/>
        <w:rPr/>
      </w:pPr>
      <w:r>
        <w:rPr>
          <w:rStyle w:val="Fontstyle01"/>
          <w:rFonts w:ascii="Noto Serif" w:hAnsi="Noto Serif"/>
          <w:sz w:val="22"/>
          <w:szCs w:val="22"/>
        </w:rPr>
        <w:t xml:space="preserve">A Nova Previdência trouxe em seu bojo a </w:t>
      </w:r>
      <w:r>
        <w:rPr>
          <w:rStyle w:val="Fontstyle01"/>
          <w:rFonts w:ascii="Noto Serif" w:hAnsi="Noto Serif"/>
          <w:b w:val="false"/>
          <w:bCs w:val="false"/>
          <w:sz w:val="22"/>
          <w:szCs w:val="22"/>
        </w:rPr>
        <w:t>obrigatoriedade de instituição do Regime de Previdência Complementar – RPC para os Entes Federativos</w:t>
      </w:r>
      <w:r>
        <w:rPr>
          <w:rStyle w:val="Fontstyle01"/>
          <w:rFonts w:ascii="Noto Serif" w:hAnsi="Noto Serif"/>
          <w:sz w:val="22"/>
          <w:szCs w:val="22"/>
        </w:rPr>
        <w:t xml:space="preserve"> que possuam Regime Próprio de Previdência Social - RPPS para seus servidores no prazo de 2 anos e, assim, limitarem os valores dos benefícios de aposentadoria e pensão concedidos pelo RPPS ao limite máximo estabelecido para os benefícios do Regime Geral de Previdência Social -  RGPS.</w:t>
      </w:r>
    </w:p>
    <w:p>
      <w:pPr>
        <w:pStyle w:val="Normal"/>
        <w:spacing w:lineRule="auto" w:line="360"/>
        <w:ind w:left="0" w:right="0" w:firstLine="709"/>
        <w:jc w:val="both"/>
        <w:rPr>
          <w:rFonts w:ascii="Noto Serif" w:hAnsi="Noto Serif"/>
          <w:sz w:val="12"/>
          <w:szCs w:val="12"/>
        </w:rPr>
      </w:pPr>
      <w:r>
        <w:rPr>
          <w:rFonts w:ascii="Noto Serif" w:hAnsi="Noto Serif"/>
          <w:sz w:val="12"/>
          <w:szCs w:val="12"/>
        </w:rPr>
      </w:r>
    </w:p>
    <w:p>
      <w:pPr>
        <w:pStyle w:val="Normal"/>
        <w:spacing w:lineRule="auto" w:line="360"/>
        <w:ind w:left="0" w:right="0" w:firstLine="709"/>
        <w:jc w:val="both"/>
        <w:rPr/>
      </w:pPr>
      <w:r>
        <w:rPr>
          <w:rStyle w:val="Fontstyle01"/>
          <w:rFonts w:ascii="Noto Serif" w:hAnsi="Noto Serif"/>
          <w:sz w:val="22"/>
          <w:szCs w:val="22"/>
        </w:rPr>
        <w:t xml:space="preserve">A instituição do Regime de Previdência Complementar deve ser feita por </w:t>
      </w:r>
      <w:r>
        <w:rPr>
          <w:rStyle w:val="Fontstyle01"/>
          <w:rFonts w:ascii="Noto Serif" w:hAnsi="Noto Serif"/>
          <w:b w:val="false"/>
          <w:bCs w:val="false"/>
          <w:sz w:val="22"/>
          <w:szCs w:val="22"/>
        </w:rPr>
        <w:t>todos os Entes Federativos que possuam RPPS</w:t>
      </w:r>
      <w:r>
        <w:rPr>
          <w:rStyle w:val="Fontstyle01"/>
          <w:rFonts w:ascii="Noto Serif" w:hAnsi="Noto Serif"/>
          <w:sz w:val="22"/>
          <w:szCs w:val="22"/>
        </w:rPr>
        <w:t xml:space="preserve">, em até dois anos da data de entrada em vigor da Emenda Constitucional n° 103, de 12 novembro de 2019, independentemente de possuírem servidores com salários acima do teto do RGPS. </w:t>
      </w:r>
      <w:r>
        <w:rPr>
          <w:rStyle w:val="Fontstyle01"/>
          <w:rFonts w:ascii="Noto Serif" w:hAnsi="Noto Serif"/>
          <w:b w:val="false"/>
          <w:bCs w:val="false"/>
          <w:sz w:val="22"/>
          <w:szCs w:val="22"/>
        </w:rPr>
        <w:t>A vigência se dará a partir da aprovação da Lei do respectivo Poder Executivo</w:t>
      </w:r>
      <w:r>
        <w:rPr>
          <w:rStyle w:val="Fontstyle01"/>
          <w:rFonts w:ascii="Noto Serif" w:hAnsi="Noto Serif"/>
          <w:sz w:val="22"/>
          <w:szCs w:val="22"/>
        </w:rPr>
        <w:t xml:space="preserve"> e por intermédio da publicação de </w:t>
      </w:r>
      <w:r>
        <w:rPr>
          <w:rStyle w:val="Fontstyle01"/>
          <w:rFonts w:ascii="Noto Serif" w:hAnsi="Noto Serif"/>
          <w:b w:val="false"/>
          <w:bCs w:val="false"/>
          <w:sz w:val="22"/>
          <w:szCs w:val="22"/>
        </w:rPr>
        <w:t>autorização pelo órgão fiscalizador do Convênio de Adesão</w:t>
      </w:r>
      <w:r>
        <w:rPr>
          <w:rStyle w:val="Fontstyle01"/>
          <w:rFonts w:ascii="Noto Serif" w:hAnsi="Noto Serif"/>
          <w:sz w:val="22"/>
          <w:szCs w:val="22"/>
        </w:rPr>
        <w:t xml:space="preserve"> </w:t>
      </w:r>
      <w:r>
        <w:rPr>
          <w:rStyle w:val="Fontstyle01"/>
          <w:rFonts w:ascii="Noto Serif" w:hAnsi="Noto Serif"/>
          <w:b w:val="false"/>
          <w:bCs w:val="false"/>
          <w:sz w:val="22"/>
          <w:szCs w:val="22"/>
          <w:u w:val="single"/>
        </w:rPr>
        <w:t>(até 13 de novembro de 2021)</w:t>
      </w:r>
      <w:r>
        <w:rPr>
          <w:rStyle w:val="Fontstyle01"/>
          <w:rFonts w:ascii="Noto Serif" w:hAnsi="Noto Serif"/>
          <w:sz w:val="22"/>
          <w:szCs w:val="22"/>
        </w:rPr>
        <w:t xml:space="preserve"> do patrocinador com a Entidade Fechada de Previdência Complementar – EFPC.</w:t>
      </w:r>
    </w:p>
    <w:p>
      <w:pPr>
        <w:pStyle w:val="Normal"/>
        <w:spacing w:lineRule="auto" w:line="360"/>
        <w:ind w:left="0" w:right="0" w:firstLine="709"/>
        <w:jc w:val="both"/>
        <w:rPr>
          <w:rFonts w:ascii="Noto Serif" w:hAnsi="Noto Serif"/>
          <w:sz w:val="14"/>
          <w:szCs w:val="14"/>
        </w:rPr>
      </w:pPr>
      <w:r>
        <w:rPr>
          <w:rFonts w:ascii="Noto Serif" w:hAnsi="Noto Serif"/>
          <w:sz w:val="14"/>
          <w:szCs w:val="14"/>
        </w:rPr>
      </w:r>
    </w:p>
    <w:p>
      <w:pPr>
        <w:pStyle w:val="Normal"/>
        <w:spacing w:lineRule="auto" w:line="360"/>
        <w:ind w:left="0" w:right="0" w:firstLine="709"/>
        <w:jc w:val="both"/>
        <w:rPr/>
      </w:pPr>
      <w:r>
        <w:rPr>
          <w:rStyle w:val="Fontstyle01"/>
          <w:rFonts w:ascii="Noto Serif" w:hAnsi="Noto Serif"/>
          <w:sz w:val="22"/>
          <w:szCs w:val="22"/>
        </w:rPr>
        <w:t>Desta forma, as regras de previdência para os servidores públicos tendem a se igualar às da previdência dos empregados da iniciativa privada, proporcionando tratamento isonômico entre os trabalhadores do RPPS e do RGPS, com delimitação dos valores da contribuição previdenciária paga e do benefício recebido, assim como oferecimento de uma previdência complementar, como forma de manutenção da qualidade de vida do trabalhador ao final da sua fase laborativa.</w:t>
      </w:r>
    </w:p>
    <w:p>
      <w:pPr>
        <w:pStyle w:val="Normal"/>
        <w:spacing w:lineRule="auto" w:line="360"/>
        <w:ind w:left="0" w:right="0" w:firstLine="709"/>
        <w:jc w:val="both"/>
        <w:rPr>
          <w:rFonts w:ascii="Noto Serif" w:hAnsi="Noto Serif"/>
          <w:sz w:val="12"/>
          <w:szCs w:val="12"/>
        </w:rPr>
      </w:pPr>
      <w:r>
        <w:rPr>
          <w:rFonts w:ascii="Noto Serif" w:hAnsi="Noto Serif"/>
          <w:sz w:val="12"/>
          <w:szCs w:val="12"/>
        </w:rPr>
      </w:r>
    </w:p>
    <w:p>
      <w:pPr>
        <w:pStyle w:val="Normal"/>
        <w:spacing w:lineRule="auto" w:line="360"/>
        <w:ind w:left="0" w:right="0" w:firstLine="709"/>
        <w:jc w:val="both"/>
        <w:rPr/>
      </w:pPr>
      <w:r>
        <w:rPr>
          <w:rStyle w:val="Fontstyle01"/>
          <w:rFonts w:ascii="Noto Serif" w:hAnsi="Noto Serif"/>
          <w:sz w:val="22"/>
          <w:szCs w:val="22"/>
        </w:rPr>
        <w:t xml:space="preserve">De acordo com o disposto na Constituição Federal, os planos de benefícios previdenciários a serem oferecidos pelos Entes Federativos aos seus servidores e administrados pelas EFPC deverão ser estruturados na modalidade de </w:t>
      </w:r>
      <w:r>
        <w:rPr>
          <w:rStyle w:val="Fontstyle01"/>
          <w:rFonts w:ascii="Noto Serif" w:hAnsi="Noto Serif"/>
          <w:b w:val="false"/>
          <w:bCs w:val="false"/>
          <w:sz w:val="22"/>
          <w:szCs w:val="22"/>
        </w:rPr>
        <w:t>contribuição definida</w:t>
      </w:r>
      <w:r>
        <w:rPr>
          <w:rStyle w:val="Fontstyle01"/>
          <w:rFonts w:ascii="Noto Serif" w:hAnsi="Noto Serif"/>
          <w:sz w:val="22"/>
          <w:szCs w:val="22"/>
        </w:rPr>
        <w:t>, na qual o valor de benefício que o participante receberá em sua aposentadoria será com base no saldo de conta acumulado, advindo de suas contribuições, da patrocinadora e da rentabilidade dos recursos investidos durante todo o período de acumulação e recebimento.</w:t>
      </w:r>
    </w:p>
    <w:p>
      <w:pPr>
        <w:pStyle w:val="Normal"/>
        <w:spacing w:lineRule="auto" w:line="360"/>
        <w:ind w:left="0" w:right="0" w:firstLine="709"/>
        <w:jc w:val="both"/>
        <w:rPr>
          <w:rFonts w:ascii="Noto Serif" w:hAnsi="Noto Serif"/>
          <w:sz w:val="12"/>
          <w:szCs w:val="12"/>
        </w:rPr>
      </w:pPr>
      <w:r>
        <w:rPr>
          <w:rFonts w:ascii="Noto Serif" w:hAnsi="Noto Serif"/>
          <w:sz w:val="12"/>
          <w:szCs w:val="12"/>
        </w:rPr>
      </w:r>
    </w:p>
    <w:p>
      <w:pPr>
        <w:pStyle w:val="Normal"/>
        <w:spacing w:lineRule="auto" w:line="360"/>
        <w:ind w:left="0" w:right="0" w:firstLine="709"/>
        <w:jc w:val="both"/>
        <w:rPr/>
      </w:pPr>
      <w:r>
        <w:rPr>
          <w:rStyle w:val="Fontstyle01"/>
          <w:rFonts w:ascii="Noto Serif" w:hAnsi="Noto Serif"/>
          <w:sz w:val="22"/>
          <w:szCs w:val="22"/>
        </w:rPr>
        <w:t xml:space="preserve">Os Entes Federativos enquanto patrocinadores dos planos de benefícios previdenciários estão sujeitos ao limite de </w:t>
      </w:r>
      <w:r>
        <w:rPr>
          <w:rStyle w:val="Fontstyle01"/>
          <w:rFonts w:ascii="Noto Serif" w:hAnsi="Noto Serif"/>
          <w:b w:val="false"/>
          <w:bCs w:val="false"/>
          <w:sz w:val="22"/>
          <w:szCs w:val="22"/>
        </w:rPr>
        <w:t>contribuição paritária.</w:t>
      </w:r>
      <w:r>
        <w:rPr>
          <w:rStyle w:val="Fontstyle01"/>
          <w:rFonts w:ascii="Noto Serif" w:hAnsi="Noto Serif"/>
          <w:sz w:val="22"/>
          <w:szCs w:val="22"/>
        </w:rPr>
        <w:t xml:space="preserve"> As contribuições normais do patrocinador para o plano de benefícios, em hipótese alguma, poderá exceder as do participante. </w:t>
      </w:r>
    </w:p>
    <w:p>
      <w:pPr>
        <w:pStyle w:val="Normal"/>
        <w:spacing w:lineRule="auto" w:line="360"/>
        <w:ind w:left="0" w:right="0" w:firstLine="709"/>
        <w:jc w:val="both"/>
        <w:rPr>
          <w:rFonts w:ascii="Noto Serif" w:hAnsi="Noto Serif"/>
          <w:sz w:val="12"/>
          <w:szCs w:val="12"/>
        </w:rPr>
      </w:pPr>
      <w:r>
        <w:rPr>
          <w:rFonts w:ascii="Noto Serif" w:hAnsi="Noto Serif"/>
          <w:sz w:val="12"/>
          <w:szCs w:val="12"/>
        </w:rPr>
      </w:r>
    </w:p>
    <w:p>
      <w:pPr>
        <w:pStyle w:val="Normal"/>
        <w:spacing w:lineRule="auto" w:line="360"/>
        <w:ind w:left="0" w:right="0" w:firstLine="709"/>
        <w:jc w:val="both"/>
        <w:rPr/>
      </w:pPr>
      <w:r>
        <w:rPr>
          <w:rStyle w:val="Fontstyle01"/>
          <w:rFonts w:ascii="Noto Serif" w:hAnsi="Noto Serif"/>
          <w:sz w:val="22"/>
          <w:szCs w:val="22"/>
        </w:rPr>
        <w:t>Neste sentido através de consultas realizadas em EFPC bem como junto ao atuário responsável pelo cálculo atuarial do RPPS dos Servidores de Dois Irmãos, constatou-se, que os Planos de Previdência Complementar, apresentam alíquota mínima de contribuição a fim de garantir a sua continuidade bem como a solvência dos planos, além disso, o aspecto social que é representado pela complementação do benefício de aposentadoria foram levados em consideração para determinar a alíquota de</w:t>
      </w:r>
      <w:r>
        <w:rPr>
          <w:rStyle w:val="Fontstyle01"/>
          <w:rFonts w:ascii="Noto Serif" w:hAnsi="Noto Serif"/>
          <w:b/>
          <w:bCs/>
          <w:sz w:val="22"/>
          <w:szCs w:val="22"/>
        </w:rPr>
        <w:t xml:space="preserve"> </w:t>
      </w:r>
      <w:r>
        <w:rPr>
          <w:rStyle w:val="Fontstyle01"/>
          <w:rFonts w:ascii="Noto Serif" w:hAnsi="Noto Serif"/>
          <w:b w:val="false"/>
          <w:bCs w:val="false"/>
          <w:sz w:val="22"/>
          <w:szCs w:val="22"/>
        </w:rPr>
        <w:t xml:space="preserve">8,5% (oito inteiros e cinco décimos). </w:t>
      </w:r>
    </w:p>
    <w:p>
      <w:pPr>
        <w:pStyle w:val="Normal"/>
        <w:spacing w:lineRule="auto" w:line="360"/>
        <w:ind w:left="0" w:right="0" w:firstLine="709"/>
        <w:jc w:val="both"/>
        <w:rPr>
          <w:rFonts w:ascii="Noto Serif" w:hAnsi="Noto Serif"/>
          <w:sz w:val="12"/>
          <w:szCs w:val="12"/>
        </w:rPr>
      </w:pPr>
      <w:r>
        <w:rPr>
          <w:rFonts w:ascii="Noto Serif" w:hAnsi="Noto Serif"/>
          <w:sz w:val="12"/>
          <w:szCs w:val="12"/>
        </w:rPr>
      </w:r>
    </w:p>
    <w:p>
      <w:pPr>
        <w:pStyle w:val="Normal"/>
        <w:spacing w:lineRule="auto" w:line="360"/>
        <w:ind w:left="0" w:right="0" w:firstLine="709"/>
        <w:jc w:val="both"/>
        <w:rPr/>
      </w:pPr>
      <w:r>
        <w:rPr>
          <w:rStyle w:val="Fontstyle01"/>
          <w:rFonts w:ascii="Noto Serif" w:hAnsi="Noto Serif"/>
          <w:sz w:val="22"/>
          <w:szCs w:val="22"/>
        </w:rPr>
        <w:t>Cabe salientar que nos atuais moldes previdenciários, o município contribui com uma alíquota patronal de 14,58%, desconsiderada a alíquota suplementar para amortização do deficit, configurando desta maneira uma economia para o município, justamente a essência da referida EC 103/2019.</w:t>
      </w:r>
    </w:p>
    <w:p>
      <w:pPr>
        <w:pStyle w:val="Normal"/>
        <w:spacing w:lineRule="auto" w:line="360"/>
        <w:ind w:left="0" w:right="0" w:firstLine="709"/>
        <w:jc w:val="both"/>
        <w:rPr>
          <w:rFonts w:ascii="Noto Serif" w:hAnsi="Noto Serif"/>
          <w:sz w:val="12"/>
          <w:szCs w:val="12"/>
        </w:rPr>
      </w:pPr>
      <w:r>
        <w:rPr>
          <w:rFonts w:ascii="Noto Serif" w:hAnsi="Noto Serif"/>
          <w:sz w:val="12"/>
          <w:szCs w:val="12"/>
        </w:rPr>
      </w:r>
    </w:p>
    <w:p>
      <w:pPr>
        <w:pStyle w:val="Normal"/>
        <w:spacing w:lineRule="auto" w:line="360"/>
        <w:ind w:left="0" w:right="0" w:firstLine="709"/>
        <w:jc w:val="both"/>
        <w:rPr/>
      </w:pPr>
      <w:r>
        <w:rPr>
          <w:rStyle w:val="Fontstyle01"/>
          <w:rFonts w:ascii="Noto Serif" w:hAnsi="Noto Serif"/>
          <w:sz w:val="22"/>
          <w:szCs w:val="22"/>
        </w:rPr>
        <w:t>Dito isso, considerando o exposto acima, submetemos o presente Projeto de Lei para análise dos nobres pares esperando ao final o acolhimento e aprovação do presente instrumento legislativo.</w:t>
      </w:r>
    </w:p>
    <w:p>
      <w:pPr>
        <w:pStyle w:val="Normal"/>
        <w:spacing w:lineRule="auto" w:line="360"/>
        <w:ind w:left="0" w:right="0" w:firstLine="709"/>
        <w:jc w:val="both"/>
        <w:rPr>
          <w:rFonts w:ascii="Noto Serif" w:hAnsi="Noto Serif"/>
          <w:sz w:val="22"/>
          <w:szCs w:val="22"/>
        </w:rPr>
      </w:pPr>
      <w:r>
        <w:rPr>
          <w:rFonts w:ascii="Noto Serif" w:hAnsi="Noto Serif"/>
          <w:sz w:val="22"/>
          <w:szCs w:val="22"/>
        </w:rPr>
      </w:r>
    </w:p>
    <w:p>
      <w:pPr>
        <w:pStyle w:val="Normal"/>
        <w:spacing w:lineRule="auto" w:line="360"/>
        <w:ind w:left="0" w:right="0" w:firstLine="709"/>
        <w:jc w:val="right"/>
        <w:rPr/>
      </w:pPr>
      <w:r>
        <w:rPr>
          <w:rStyle w:val="Fontstyle01"/>
          <w:rFonts w:ascii="Noto Serif" w:hAnsi="Noto Serif"/>
          <w:b/>
          <w:bCs/>
          <w:sz w:val="22"/>
          <w:szCs w:val="22"/>
        </w:rPr>
        <w:t>JERRI ADRIANI MENHEGHETTI,</w:t>
      </w:r>
    </w:p>
    <w:p>
      <w:pPr>
        <w:pStyle w:val="Normal"/>
        <w:spacing w:lineRule="auto" w:line="360"/>
        <w:ind w:left="0" w:right="0" w:firstLine="709"/>
        <w:jc w:val="right"/>
        <w:rPr/>
      </w:pPr>
      <w:r>
        <w:rPr>
          <w:rStyle w:val="Fontstyle01"/>
          <w:rFonts w:ascii="Noto Serif" w:hAnsi="Noto Serif"/>
          <w:b/>
          <w:bCs/>
          <w:sz w:val="22"/>
          <w:szCs w:val="22"/>
        </w:rPr>
        <w:t>PREFEITO MUNICIPAL.</w:t>
      </w:r>
    </w:p>
    <w:p>
      <w:pPr>
        <w:pStyle w:val="Normal"/>
        <w:spacing w:lineRule="auto" w:line="360"/>
        <w:ind w:left="0" w:right="0" w:firstLine="709"/>
        <w:jc w:val="right"/>
        <w:rPr/>
      </w:pPr>
      <w:r>
        <w:rPr>
          <w:rStyle w:val="Fontstyle01"/>
          <w:rFonts w:ascii="Noto Serif" w:hAnsi="Noto Serif"/>
          <w:sz w:val="22"/>
          <w:szCs w:val="22"/>
        </w:rPr>
        <w:t xml:space="preserve"> </w:t>
      </w:r>
    </w:p>
    <w:p>
      <w:pPr>
        <w:pStyle w:val="Normal"/>
        <w:spacing w:lineRule="auto" w:line="360"/>
        <w:ind w:left="0" w:right="0" w:firstLine="709"/>
        <w:jc w:val="both"/>
        <w:rPr>
          <w:rFonts w:ascii="Noto Serif" w:hAnsi="Noto Serif"/>
          <w:caps w:val="false"/>
          <w:smallCaps w:val="false"/>
          <w:spacing w:val="0"/>
          <w:kern w:val="2"/>
          <w:sz w:val="22"/>
          <w:szCs w:val="22"/>
          <w:u w:val="none"/>
        </w:rPr>
      </w:pPr>
      <w:r>
        <w:rPr>
          <w:rFonts w:ascii="Noto Serif" w:hAnsi="Noto Serif"/>
          <w:caps w:val="false"/>
          <w:smallCaps w:val="false"/>
          <w:spacing w:val="0"/>
          <w:kern w:val="2"/>
          <w:sz w:val="22"/>
          <w:szCs w:val="22"/>
          <w:u w:val="none"/>
        </w:rPr>
      </w:r>
    </w:p>
    <w:p>
      <w:pPr>
        <w:pStyle w:val="NormalWeb"/>
        <w:tabs>
          <w:tab w:val="clear" w:pos="709"/>
          <w:tab w:val="left" w:pos="11" w:leader="none"/>
        </w:tabs>
        <w:spacing w:lineRule="auto" w:line="360" w:before="0" w:after="120"/>
        <w:rPr/>
      </w:pPr>
      <w:r>
        <w:rPr/>
      </w:r>
    </w:p>
    <w:sectPr>
      <w:type w:val="nextPage"/>
      <w:pgSz w:w="12240" w:h="15840"/>
      <w:pgMar w:left="1701" w:right="1701" w:header="0" w:top="3628" w:footer="0" w:bottom="1361"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Helvetica">
    <w:altName w:val="Arial"/>
    <w:charset w:val="00"/>
    <w:family w:val="roman"/>
    <w:pitch w:val="variable"/>
  </w:font>
  <w:font w:name="Liberation Sans">
    <w:altName w:val="Arial"/>
    <w:charset w:val="00"/>
    <w:family w:val="roman"/>
    <w:pitch w:val="variable"/>
  </w:font>
  <w:font w:name="Noto Serif">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Mangal"/>
        <w:kern w:val="2"/>
        <w:sz w:val="22"/>
        <w:szCs w:val="24"/>
        <w:lang w:val="pt-BR" w:eastAsia="zh-CN" w:bidi="hi-IN"/>
      </w:rPr>
    </w:rPrDefault>
    <w:pPrDefault>
      <w:pPr>
        <w:suppressAutoHyphens w:val="true"/>
      </w:pPr>
    </w:pPrDefault>
  </w:docDefaults>
  <w:style w:type="paragraph" w:styleId="Normal">
    <w:name w:val="Normal"/>
    <w:qFormat/>
    <w:pPr>
      <w:widowControl w:val="false"/>
      <w:suppressAutoHyphens w:val="true"/>
      <w:bidi w:val="0"/>
      <w:spacing w:before="0" w:after="0"/>
      <w:jc w:val="left"/>
    </w:pPr>
    <w:rPr>
      <w:rFonts w:ascii="Calibri" w:hAnsi="Calibri" w:eastAsia="NSimSun" w:cs="Mangal"/>
      <w:color w:val="auto"/>
      <w:kern w:val="2"/>
      <w:sz w:val="22"/>
      <w:szCs w:val="24"/>
      <w:lang w:val="pt-BR" w:eastAsia="zh-CN" w:bidi="hi-IN"/>
    </w:rPr>
  </w:style>
  <w:style w:type="character" w:styleId="Fontepargpadro1">
    <w:name w:val="Fonte parág. padrão1"/>
    <w:qFormat/>
    <w:rPr/>
  </w:style>
  <w:style w:type="character" w:styleId="LinkdaInternet">
    <w:name w:val="Link da Internet"/>
    <w:basedOn w:val="Fontepargpadro1"/>
    <w:rPr>
      <w:color w:val="000080"/>
      <w:u w:val="single"/>
      <w:lang w:val="zxx" w:eastAsia="zxx" w:bidi="zxx"/>
    </w:rPr>
  </w:style>
  <w:style w:type="character" w:styleId="DefaultParagraphFont">
    <w:name w:val="Default Paragraph Font"/>
    <w:qFormat/>
    <w:rPr/>
  </w:style>
  <w:style w:type="character" w:styleId="Fontstyle01">
    <w:name w:val="fontstyle01"/>
    <w:basedOn w:val="DefaultParagraphFont"/>
    <w:qFormat/>
    <w:rPr>
      <w:rFonts w:ascii="Helvetica" w:hAnsi="Helvetica"/>
      <w:b w:val="false"/>
      <w:bCs w:val="false"/>
      <w:i w:val="false"/>
      <w:iCs w:val="false"/>
      <w:color w:val="000000"/>
      <w:sz w:val="20"/>
      <w:szCs w:val="20"/>
    </w:rPr>
  </w:style>
  <w:style w:type="paragraph" w:styleId="Ttulo">
    <w:name w:val="Título"/>
    <w:basedOn w:val="Normal"/>
    <w:next w:val="Corpodotexto"/>
    <w:qFormat/>
    <w:pPr>
      <w:keepNext w:val="true"/>
      <w:spacing w:before="240" w:after="120"/>
    </w:pPr>
    <w:rPr>
      <w:rFonts w:ascii="Liberation Sans" w:hAnsi="Liberation Sans" w:eastAsia="Microsoft YaHei" w:cs="Mang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Mangal"/>
    </w:rPr>
  </w:style>
  <w:style w:type="paragraph" w:styleId="Legenda">
    <w:name w:val="Caption"/>
    <w:basedOn w:val="Normal"/>
    <w:qFormat/>
    <w:pPr>
      <w:suppressLineNumbers/>
      <w:spacing w:before="120" w:after="120"/>
    </w:pPr>
    <w:rPr>
      <w:rFonts w:cs="Mangal"/>
      <w:i/>
      <w:iCs/>
      <w:sz w:val="24"/>
      <w:szCs w:val="24"/>
    </w:rPr>
  </w:style>
  <w:style w:type="paragraph" w:styleId="Ndice">
    <w:name w:val="Índice"/>
    <w:basedOn w:val="Normal"/>
    <w:qFormat/>
    <w:pPr>
      <w:suppressLineNumbers/>
    </w:pPr>
    <w:rPr>
      <w:rFonts w:cs="Mangal"/>
    </w:rPr>
  </w:style>
  <w:style w:type="paragraph" w:styleId="NormalWeb">
    <w:name w:val="Normal (Web)"/>
    <w:basedOn w:val="Normal"/>
    <w:qFormat/>
    <w:pPr>
      <w:spacing w:lineRule="atLeast" w:line="100" w:before="100" w:after="119"/>
    </w:pPr>
    <w:rPr>
      <w:rFonts w:eastAsia="Times New Roman" w:cs="Times New Roman"/>
    </w:rPr>
  </w:style>
  <w:style w:type="paragraph" w:styleId="SemEspaamento">
    <w:name w:val="Sem Espaçamento"/>
    <w:qFormat/>
    <w:pPr>
      <w:widowControl/>
      <w:suppressAutoHyphens w:val="true"/>
      <w:overflowPunct w:val="false"/>
      <w:bidi w:val="0"/>
      <w:spacing w:before="0" w:after="0"/>
      <w:jc w:val="left"/>
    </w:pPr>
    <w:rPr>
      <w:rFonts w:ascii="Calibri" w:hAnsi="Calibri" w:eastAsia="Times New Roman" w:cs="Times New Roman"/>
      <w:color w:val="auto"/>
      <w:kern w:val="2"/>
      <w:sz w:val="22"/>
      <w:szCs w:val="22"/>
      <w:lang w:val="pt-BR" w:eastAsia="zh-CN"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77</TotalTime>
  <Application>LibreOffice/7.0.4.2$Windows_X86_64 LibreOffice_project/dcf040e67528d9187c66b2379df5ea4407429775</Application>
  <AppVersion>15.0000</AppVersion>
  <Pages>18</Pages>
  <Words>3801</Words>
  <Characters>21061</Characters>
  <CharactersWithSpaces>24934</CharactersWithSpaces>
  <Paragraphs>158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pt-BR</dc:language>
  <cp:lastModifiedBy/>
  <cp:lastPrinted>2021-08-17T08:41:38Z</cp:lastPrinted>
  <dcterms:modified xsi:type="dcterms:W3CDTF">2021-08-17T09:23:13Z</dcterms:modified>
  <cp:revision>13</cp:revision>
  <dc:subject/>
  <dc:title/>
</cp:coreProperties>
</file>

<file path=docProps/custom.xml><?xml version="1.0" encoding="utf-8"?>
<Properties xmlns="http://schemas.openxmlformats.org/officeDocument/2006/custom-properties" xmlns:vt="http://schemas.openxmlformats.org/officeDocument/2006/docPropsVTypes"/>
</file>