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CCA" w:rsidRPr="003D252D" w:rsidRDefault="00497CCA" w:rsidP="005912D6">
      <w:pPr>
        <w:jc w:val="both"/>
        <w:rPr>
          <w:rFonts w:ascii="Bookman Old Style" w:hAnsi="Bookman Old Style"/>
          <w:b/>
          <w:bCs/>
          <w:sz w:val="22"/>
          <w:szCs w:val="22"/>
        </w:rPr>
      </w:pPr>
      <w:r w:rsidRPr="003D252D">
        <w:rPr>
          <w:rFonts w:ascii="Bookman Old Style" w:hAnsi="Bookman Old Style"/>
          <w:b/>
          <w:bCs/>
          <w:sz w:val="22"/>
          <w:szCs w:val="22"/>
        </w:rPr>
        <w:t>PROJETO DE LEI</w:t>
      </w:r>
      <w:r w:rsidR="00FB2852" w:rsidRPr="003D252D">
        <w:rPr>
          <w:rFonts w:ascii="Bookman Old Style" w:hAnsi="Bookman Old Style"/>
          <w:b/>
          <w:bCs/>
          <w:sz w:val="22"/>
          <w:szCs w:val="22"/>
        </w:rPr>
        <w:t xml:space="preserve"> LEGISLATIVO Nº </w:t>
      </w:r>
      <w:r w:rsidR="005912D6" w:rsidRPr="003D252D">
        <w:rPr>
          <w:rFonts w:ascii="Bookman Old Style" w:hAnsi="Bookman Old Style"/>
          <w:b/>
          <w:bCs/>
          <w:sz w:val="22"/>
          <w:szCs w:val="22"/>
        </w:rPr>
        <w:t>14, DE 27 DE OUTUBRO DE 2021.</w:t>
      </w:r>
    </w:p>
    <w:p w:rsidR="00497CCA" w:rsidRPr="003D252D" w:rsidRDefault="00497CCA" w:rsidP="009E4CB1">
      <w:pPr>
        <w:pStyle w:val="Default"/>
        <w:rPr>
          <w:rFonts w:ascii="Bookman Old Style" w:hAnsi="Bookman Old Style"/>
          <w:bCs/>
          <w:sz w:val="22"/>
          <w:szCs w:val="22"/>
        </w:rPr>
      </w:pPr>
    </w:p>
    <w:p w:rsidR="00497CCA" w:rsidRPr="003D252D" w:rsidRDefault="00497CCA" w:rsidP="00497CCA">
      <w:pPr>
        <w:jc w:val="center"/>
        <w:rPr>
          <w:rFonts w:ascii="Bookman Old Style" w:hAnsi="Bookman Old Style"/>
          <w:sz w:val="22"/>
          <w:szCs w:val="22"/>
        </w:rPr>
      </w:pPr>
    </w:p>
    <w:p w:rsidR="00497CCA" w:rsidRPr="003D252D" w:rsidRDefault="00A21687" w:rsidP="00FB2852">
      <w:pPr>
        <w:ind w:left="3686"/>
        <w:jc w:val="both"/>
        <w:rPr>
          <w:rFonts w:ascii="Bookman Old Style" w:hAnsi="Bookman Old Style"/>
          <w:i/>
          <w:sz w:val="22"/>
          <w:szCs w:val="22"/>
        </w:rPr>
      </w:pPr>
      <w:r w:rsidRPr="003D252D">
        <w:rPr>
          <w:rFonts w:ascii="Bookman Old Style" w:hAnsi="Bookman Old Style"/>
          <w:b/>
          <w:i/>
          <w:sz w:val="22"/>
          <w:szCs w:val="22"/>
        </w:rPr>
        <w:t>“</w:t>
      </w:r>
      <w:r w:rsidR="00497CCA" w:rsidRPr="003D252D">
        <w:rPr>
          <w:rFonts w:ascii="Bookman Old Style" w:hAnsi="Bookman Old Style"/>
          <w:b/>
          <w:i/>
          <w:sz w:val="22"/>
          <w:szCs w:val="22"/>
        </w:rPr>
        <w:t>Autoriza os estabelecimentos responsáveis pela produção, pelo fornecimento, pela comercialização, pelo armazenamento e pela distribuição de gêneros alimentícios, sejam eles industrializados ou in natura, a doar o seu excedente a pessoas físicas ou jurídicas</w:t>
      </w:r>
      <w:r w:rsidRPr="003D252D">
        <w:rPr>
          <w:rFonts w:ascii="Bookman Old Style" w:hAnsi="Bookman Old Style"/>
          <w:b/>
          <w:i/>
          <w:sz w:val="22"/>
          <w:szCs w:val="22"/>
        </w:rPr>
        <w:t>.”</w:t>
      </w:r>
    </w:p>
    <w:p w:rsidR="00497CCA" w:rsidRPr="003D252D" w:rsidRDefault="00497CCA" w:rsidP="00497CCA">
      <w:pPr>
        <w:jc w:val="center"/>
        <w:rPr>
          <w:rFonts w:ascii="Bookman Old Style" w:hAnsi="Bookman Old Style"/>
          <w:sz w:val="22"/>
          <w:szCs w:val="22"/>
        </w:rPr>
      </w:pPr>
    </w:p>
    <w:p w:rsidR="00497CCA" w:rsidRPr="003D252D" w:rsidRDefault="00497CCA" w:rsidP="00497CCA">
      <w:pPr>
        <w:jc w:val="center"/>
        <w:rPr>
          <w:rFonts w:ascii="Bookman Old Style" w:hAnsi="Bookman Old Style"/>
          <w:sz w:val="22"/>
          <w:szCs w:val="22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  <w:r w:rsidRPr="003D252D">
        <w:rPr>
          <w:rFonts w:ascii="Bookman Old Style" w:hAnsi="Bookman Old Style"/>
          <w:b/>
          <w:sz w:val="22"/>
          <w:szCs w:val="22"/>
        </w:rPr>
        <w:t xml:space="preserve">Art. 1º </w:t>
      </w:r>
      <w:r w:rsidRPr="003D252D">
        <w:rPr>
          <w:rFonts w:ascii="Bookman Old Style" w:hAnsi="Bookman Old Style"/>
          <w:sz w:val="22"/>
          <w:szCs w:val="22"/>
        </w:rPr>
        <w:t xml:space="preserve">Ficam os estabelecimentos responsáveis pela produção, pelo fornecimento, pela comercialização, pelo armazenamento e pela distribuição de gêneros alimentícios, sejam eles industrializados ou </w:t>
      </w:r>
      <w:r w:rsidRPr="003D252D">
        <w:rPr>
          <w:rFonts w:ascii="Bookman Old Style" w:hAnsi="Bookman Old Style"/>
          <w:i/>
          <w:sz w:val="22"/>
          <w:szCs w:val="22"/>
        </w:rPr>
        <w:t>in natura</w:t>
      </w:r>
      <w:r w:rsidRPr="003D252D">
        <w:rPr>
          <w:rFonts w:ascii="Bookman Old Style" w:hAnsi="Bookman Old Style"/>
          <w:sz w:val="22"/>
          <w:szCs w:val="22"/>
        </w:rPr>
        <w:t>, autorizados a doar o seu excedente a pessoas físicas ou jurídicas</w:t>
      </w:r>
      <w:r w:rsidR="00A21687" w:rsidRPr="003D252D">
        <w:rPr>
          <w:rFonts w:ascii="Bookman Old Style" w:hAnsi="Bookman Old Style"/>
          <w:sz w:val="22"/>
          <w:szCs w:val="22"/>
        </w:rPr>
        <w:t>,</w:t>
      </w:r>
      <w:r w:rsidRPr="003D252D">
        <w:rPr>
          <w:rFonts w:ascii="Bookman Old Style" w:hAnsi="Bookman Old Style"/>
          <w:sz w:val="22"/>
          <w:szCs w:val="22"/>
        </w:rPr>
        <w:t xml:space="preserve"> desde que atendam aos seguintes critérios:</w:t>
      </w: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  <w:r w:rsidRPr="003D252D">
        <w:rPr>
          <w:rFonts w:ascii="Bookman Old Style" w:hAnsi="Bookman Old Style"/>
          <w:sz w:val="22"/>
          <w:szCs w:val="22"/>
        </w:rPr>
        <w:t>I – os alimentos devem estar dentro do prazo de validade, em condições próprias para o consumo, e devem ser observadas as suas condições de preservação e mantidas as suas propriedades nutricionais;</w:t>
      </w: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  <w:r w:rsidRPr="003D252D">
        <w:rPr>
          <w:rFonts w:ascii="Bookman Old Style" w:hAnsi="Bookman Old Style"/>
          <w:sz w:val="22"/>
          <w:szCs w:val="22"/>
        </w:rPr>
        <w:t>II – as normas sanitárias devem ser obedecidas pelo estabelecimento doador; e</w:t>
      </w: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  <w:r w:rsidRPr="003D252D">
        <w:rPr>
          <w:rFonts w:ascii="Bookman Old Style" w:hAnsi="Bookman Old Style"/>
          <w:sz w:val="22"/>
          <w:szCs w:val="22"/>
        </w:rPr>
        <w:t>III – a doação deve ser livre de encargo, salvo o relativo à cobrança de custos para o transporte do produto ao seu destinatário final, se assim for acordado entre o doador e o beneficiário.</w:t>
      </w: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</w:p>
    <w:p w:rsidR="00497CCA" w:rsidRPr="003D252D" w:rsidRDefault="00A21687" w:rsidP="00497CCA">
      <w:pPr>
        <w:ind w:firstLine="1418"/>
        <w:jc w:val="both"/>
        <w:rPr>
          <w:rFonts w:ascii="Bookman Old Style" w:hAnsi="Bookman Old Style" w:cs="Arial"/>
          <w:color w:val="000000"/>
          <w:sz w:val="22"/>
          <w:szCs w:val="22"/>
        </w:rPr>
      </w:pPr>
      <w:r w:rsidRPr="003D252D">
        <w:rPr>
          <w:rFonts w:ascii="Bookman Old Style" w:hAnsi="Bookman Old Style" w:cs="Arial"/>
          <w:b/>
          <w:color w:val="000000"/>
          <w:sz w:val="22"/>
          <w:szCs w:val="22"/>
        </w:rPr>
        <w:t>Art. 2º</w:t>
      </w:r>
      <w:r w:rsidRPr="003D252D">
        <w:rPr>
          <w:rFonts w:ascii="Bookman Old Style" w:hAnsi="Bookman Old Style" w:cs="Arial"/>
          <w:color w:val="000000"/>
          <w:sz w:val="22"/>
          <w:szCs w:val="22"/>
        </w:rPr>
        <w:t xml:space="preserve"> Os beneficiários da doação autorizada por esta Lei serão pessoas, famílias ou grupos em situação de vulnerabilidade ou de risco alimentar ou nutricional.</w:t>
      </w:r>
    </w:p>
    <w:p w:rsidR="00A21687" w:rsidRPr="003D252D" w:rsidRDefault="00A21687" w:rsidP="00497CCA">
      <w:pPr>
        <w:ind w:firstLine="1418"/>
        <w:jc w:val="both"/>
        <w:rPr>
          <w:rFonts w:ascii="Bookman Old Style" w:hAnsi="Bookman Old Style" w:cs="Arial"/>
          <w:color w:val="000000"/>
          <w:sz w:val="22"/>
          <w:szCs w:val="22"/>
        </w:rPr>
      </w:pPr>
    </w:p>
    <w:p w:rsidR="00A21687" w:rsidRPr="003D252D" w:rsidRDefault="00A21687" w:rsidP="00497CCA">
      <w:pPr>
        <w:ind w:firstLine="1418"/>
        <w:jc w:val="both"/>
        <w:rPr>
          <w:rFonts w:ascii="Bookman Old Style" w:hAnsi="Bookman Old Style" w:cs="Arial"/>
          <w:color w:val="000000"/>
          <w:sz w:val="22"/>
          <w:szCs w:val="22"/>
        </w:rPr>
      </w:pPr>
      <w:r w:rsidRPr="003D252D">
        <w:rPr>
          <w:rFonts w:ascii="Bookman Old Style" w:hAnsi="Bookman Old Style" w:cs="Arial"/>
          <w:b/>
          <w:color w:val="000000"/>
          <w:sz w:val="22"/>
          <w:szCs w:val="22"/>
        </w:rPr>
        <w:t>Art. 3º</w:t>
      </w:r>
      <w:r w:rsidRPr="003D252D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r w:rsidR="003B23C4" w:rsidRPr="003D252D">
        <w:rPr>
          <w:rFonts w:ascii="Bookman Old Style" w:hAnsi="Bookman Old Style" w:cs="Arial"/>
          <w:color w:val="000000"/>
          <w:sz w:val="22"/>
          <w:szCs w:val="22"/>
        </w:rPr>
        <w:t>Esta L</w:t>
      </w:r>
      <w:r w:rsidRPr="003D252D">
        <w:rPr>
          <w:rFonts w:ascii="Bookman Old Style" w:hAnsi="Bookman Old Style" w:cs="Arial"/>
          <w:color w:val="000000"/>
          <w:sz w:val="22"/>
          <w:szCs w:val="22"/>
        </w:rPr>
        <w:t>ei cumprirá os critérios determinados na Lei Federal n° 14.016/2020.</w:t>
      </w:r>
    </w:p>
    <w:p w:rsidR="00A21687" w:rsidRPr="003D252D" w:rsidRDefault="00A21687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hAnsi="Bookman Old Style"/>
          <w:sz w:val="22"/>
          <w:szCs w:val="22"/>
        </w:rPr>
      </w:pPr>
      <w:r w:rsidRPr="003D252D">
        <w:rPr>
          <w:rFonts w:ascii="Bookman Old Style" w:hAnsi="Bookman Old Style"/>
          <w:b/>
          <w:sz w:val="22"/>
          <w:szCs w:val="22"/>
        </w:rPr>
        <w:t xml:space="preserve">Art. </w:t>
      </w:r>
      <w:r w:rsidR="00A21687" w:rsidRPr="003D252D">
        <w:rPr>
          <w:rFonts w:ascii="Bookman Old Style" w:hAnsi="Bookman Old Style"/>
          <w:b/>
          <w:sz w:val="22"/>
          <w:szCs w:val="22"/>
        </w:rPr>
        <w:t>4</w:t>
      </w:r>
      <w:r w:rsidRPr="003D252D">
        <w:rPr>
          <w:rFonts w:ascii="Bookman Old Style" w:hAnsi="Bookman Old Style"/>
          <w:b/>
          <w:sz w:val="22"/>
          <w:szCs w:val="22"/>
        </w:rPr>
        <w:t>º</w:t>
      </w:r>
      <w:r w:rsidRPr="003D252D">
        <w:rPr>
          <w:rFonts w:ascii="Bookman Old Style" w:hAnsi="Bookman Old Style"/>
          <w:sz w:val="22"/>
          <w:szCs w:val="22"/>
        </w:rPr>
        <w:t xml:space="preserve"> Esta Lei entra em vigor na data de sua publicação.</w:t>
      </w:r>
    </w:p>
    <w:p w:rsidR="00497CCA" w:rsidRPr="003D252D" w:rsidRDefault="00497CCA">
      <w:pPr>
        <w:rPr>
          <w:sz w:val="22"/>
          <w:szCs w:val="22"/>
        </w:rPr>
      </w:pPr>
    </w:p>
    <w:p w:rsidR="00497CCA" w:rsidRPr="003D252D" w:rsidRDefault="00FB2852" w:rsidP="00FB2852">
      <w:pPr>
        <w:jc w:val="right"/>
        <w:rPr>
          <w:rFonts w:ascii="Bookman Old Style" w:hAnsi="Bookman Old Style"/>
          <w:sz w:val="22"/>
          <w:szCs w:val="22"/>
        </w:rPr>
      </w:pPr>
      <w:r w:rsidRPr="003D252D">
        <w:rPr>
          <w:rFonts w:ascii="Bookman Old Style" w:hAnsi="Bookman Old Style"/>
          <w:sz w:val="22"/>
          <w:szCs w:val="22"/>
        </w:rPr>
        <w:t>Dois Irmãos, 27 de outubro de 2021.</w:t>
      </w:r>
    </w:p>
    <w:p w:rsidR="00FB2852" w:rsidRPr="003D252D" w:rsidRDefault="00FB2852" w:rsidP="00FB2852">
      <w:pPr>
        <w:jc w:val="right"/>
        <w:rPr>
          <w:rFonts w:ascii="Bookman Old Style" w:hAnsi="Bookman Old Style"/>
          <w:sz w:val="22"/>
          <w:szCs w:val="22"/>
        </w:rPr>
      </w:pPr>
    </w:p>
    <w:p w:rsidR="00FB2852" w:rsidRPr="003D252D" w:rsidRDefault="00FB2852" w:rsidP="00FB2852">
      <w:pPr>
        <w:jc w:val="right"/>
        <w:rPr>
          <w:rFonts w:ascii="Bookman Old Style" w:hAnsi="Bookman Old Style"/>
          <w:sz w:val="22"/>
          <w:szCs w:val="22"/>
        </w:rPr>
      </w:pPr>
    </w:p>
    <w:p w:rsidR="00FB2852" w:rsidRPr="003D252D" w:rsidRDefault="00FB2852" w:rsidP="00FB2852">
      <w:pPr>
        <w:tabs>
          <w:tab w:val="left" w:pos="1134"/>
          <w:tab w:val="left" w:pos="4111"/>
        </w:tabs>
        <w:suppressAutoHyphens/>
        <w:jc w:val="center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DARLEI LUIS KAUFMANN </w:t>
      </w:r>
    </w:p>
    <w:p w:rsidR="00FB2852" w:rsidRPr="003D252D" w:rsidRDefault="00FB2852" w:rsidP="00FB2852">
      <w:pPr>
        <w:suppressAutoHyphens/>
        <w:jc w:val="center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VEREADOR DO PSB </w:t>
      </w:r>
    </w:p>
    <w:p w:rsidR="00FB2852" w:rsidRPr="003D252D" w:rsidRDefault="00FB2852" w:rsidP="00FB2852">
      <w:pPr>
        <w:suppressAutoHyphens/>
        <w:jc w:val="both"/>
        <w:rPr>
          <w:rFonts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ELONY EDGAR NYLAND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>SÉRGIO KROETZ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VEREADOR DO MDB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>VEREADOR DO PP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CELINA TEIXEIRA CHRISTOVÃO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EDERSON ARANTES BUENO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     VEREADORA DO MDB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>VEREADOR DO MDB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NILTON JOSÉ TAVARES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RAMON ARNOLD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VEREADOR DO PP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      VEREADOR DO PP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PAULINO ADALBERTO RENZ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SHEILA DA SILVA       </w:t>
      </w:r>
    </w:p>
    <w:p w:rsidR="00FB2852" w:rsidRPr="003D252D" w:rsidRDefault="00FB2852" w:rsidP="00FB2852">
      <w:pPr>
        <w:rPr>
          <w:sz w:val="22"/>
          <w:szCs w:val="22"/>
        </w:rPr>
      </w:pPr>
      <w:r w:rsidRPr="003D252D">
        <w:rPr>
          <w:rFonts w:ascii="Bookman Old Style" w:hAnsi="Bookman Old Style"/>
          <w:b/>
          <w:sz w:val="22"/>
          <w:szCs w:val="22"/>
        </w:rPr>
        <w:t xml:space="preserve">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VEREADOR DO PDT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     VEREADORA DO PT</w:t>
      </w:r>
    </w:p>
    <w:p w:rsidR="00FB2852" w:rsidRPr="00FB2852" w:rsidRDefault="00FB2852" w:rsidP="00FB2852">
      <w:pPr>
        <w:jc w:val="right"/>
        <w:rPr>
          <w:rFonts w:ascii="Bookman Old Style" w:hAnsi="Bookman Old Style"/>
        </w:rPr>
      </w:pPr>
    </w:p>
    <w:p w:rsidR="00497CCA" w:rsidRDefault="00497CCA"/>
    <w:p w:rsidR="00FB2852" w:rsidRDefault="00FB2852">
      <w:pPr>
        <w:spacing w:after="160" w:line="259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br w:type="page"/>
      </w:r>
    </w:p>
    <w:p w:rsidR="00497CCA" w:rsidRPr="003D252D" w:rsidRDefault="00FB2852" w:rsidP="00497CCA">
      <w:pPr>
        <w:jc w:val="center"/>
        <w:rPr>
          <w:rFonts w:ascii="Bookman Old Style" w:hAnsi="Bookman Old Style"/>
          <w:b/>
          <w:sz w:val="22"/>
          <w:szCs w:val="22"/>
        </w:rPr>
      </w:pPr>
      <w:bookmarkStart w:id="0" w:name="_GoBack"/>
      <w:bookmarkEnd w:id="0"/>
      <w:r w:rsidRPr="003D252D">
        <w:rPr>
          <w:rFonts w:ascii="Bookman Old Style" w:hAnsi="Bookman Old Style"/>
          <w:b/>
          <w:sz w:val="22"/>
          <w:szCs w:val="22"/>
        </w:rPr>
        <w:lastRenderedPageBreak/>
        <w:t>JUSTIFICATIVA</w:t>
      </w:r>
    </w:p>
    <w:p w:rsidR="00497CCA" w:rsidRPr="003D252D" w:rsidRDefault="00497CCA" w:rsidP="00497CCA">
      <w:pPr>
        <w:jc w:val="center"/>
        <w:rPr>
          <w:rFonts w:ascii="Bookman Old Style" w:hAnsi="Bookman Old Style"/>
          <w:bCs/>
          <w:color w:val="000000"/>
          <w:sz w:val="22"/>
          <w:szCs w:val="22"/>
        </w:rPr>
      </w:pPr>
    </w:p>
    <w:p w:rsidR="00497CCA" w:rsidRPr="003D252D" w:rsidRDefault="00497CCA" w:rsidP="00497CCA">
      <w:pPr>
        <w:jc w:val="center"/>
        <w:rPr>
          <w:rFonts w:ascii="Bookman Old Style" w:hAnsi="Bookman Old Style"/>
          <w:bCs/>
          <w:color w:val="000000"/>
          <w:sz w:val="22"/>
          <w:szCs w:val="22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eastAsia="Calibri" w:hAnsi="Bookman Old Style"/>
          <w:sz w:val="22"/>
          <w:szCs w:val="22"/>
          <w:lang w:eastAsia="en-US"/>
        </w:rPr>
      </w:pPr>
      <w:r w:rsidRPr="003D252D">
        <w:rPr>
          <w:rFonts w:ascii="Bookman Old Style" w:eastAsia="Calibri" w:hAnsi="Bookman Old Style"/>
          <w:sz w:val="22"/>
          <w:szCs w:val="22"/>
          <w:lang w:eastAsia="en-US"/>
        </w:rPr>
        <w:t>O Brasil, segundo dados do Instituto Brasileiro de Geografia e Estatística (IBGE), possui mais de 10 milhões de pessoas em situação de grave insegurança alimentar – ou fome. Ainda assim, até pouco tempo atrás, a legislação brasileira, na prática, impedia a doação de alimentos em excesso – as sobras de restaurantes, mercados e tantos outros estabelecimentos que se viam obrigados a destinar seu excedente para o lixo.</w:t>
      </w:r>
    </w:p>
    <w:p w:rsidR="00497CCA" w:rsidRPr="003D252D" w:rsidRDefault="00497CCA" w:rsidP="00497CCA">
      <w:pPr>
        <w:ind w:firstLine="1418"/>
        <w:jc w:val="both"/>
        <w:rPr>
          <w:rFonts w:ascii="Bookman Old Style" w:eastAsia="Calibri" w:hAnsi="Bookman Old Style"/>
          <w:sz w:val="22"/>
          <w:szCs w:val="22"/>
          <w:lang w:eastAsia="en-US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eastAsia="Calibri" w:hAnsi="Bookman Old Style"/>
          <w:sz w:val="22"/>
          <w:szCs w:val="22"/>
          <w:lang w:eastAsia="en-US"/>
        </w:rPr>
      </w:pPr>
      <w:r w:rsidRPr="003D252D">
        <w:rPr>
          <w:rFonts w:ascii="Bookman Old Style" w:eastAsia="Calibri" w:hAnsi="Bookman Old Style"/>
          <w:sz w:val="22"/>
          <w:szCs w:val="22"/>
          <w:lang w:eastAsia="en-US"/>
        </w:rPr>
        <w:t>O problema estava na legislação nacional, que atribuía ao doador um nível de responsabilização desproporcional à natureza do ato. Contudo, recentemente foi aprovada a Lei Federal nº 14.016, de 23 de junho de 2020, que dispõe sobre o combate ao desperdício de alimentos e a doação de excedentes de alimentos para o consumo humano. Com a nova Lei, limita-se a responsabilização cível, administrativa e criminal do doador apenas aos casos dolosos.</w:t>
      </w:r>
    </w:p>
    <w:p w:rsidR="00497CCA" w:rsidRPr="003D252D" w:rsidRDefault="00497CCA" w:rsidP="00497CCA">
      <w:pPr>
        <w:ind w:firstLine="1418"/>
        <w:jc w:val="both"/>
        <w:rPr>
          <w:rFonts w:ascii="Bookman Old Style" w:eastAsia="Calibri" w:hAnsi="Bookman Old Style"/>
          <w:sz w:val="22"/>
          <w:szCs w:val="22"/>
          <w:lang w:eastAsia="en-US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eastAsia="Calibri" w:hAnsi="Bookman Old Style"/>
          <w:sz w:val="22"/>
          <w:szCs w:val="22"/>
          <w:lang w:eastAsia="en-US"/>
        </w:rPr>
      </w:pPr>
      <w:r w:rsidRPr="003D252D">
        <w:rPr>
          <w:rFonts w:ascii="Bookman Old Style" w:eastAsia="Calibri" w:hAnsi="Bookman Old Style"/>
          <w:sz w:val="22"/>
          <w:szCs w:val="22"/>
          <w:lang w:eastAsia="en-US"/>
        </w:rPr>
        <w:t>Por óbvio, não é matéria de competência municipal definir as instâncias nas quais seria cabível a responsabilização do doador, mas cabe ao Município oferecer seu entendimento sobre os limites que implementará à ação, garantindo maior segurança jurídica e, consequentemente, fomentando o fornecimento gratuito de alimentos por estabelecimentos industriais e comerciais em nossa Cidade.</w:t>
      </w:r>
    </w:p>
    <w:p w:rsidR="00497CCA" w:rsidRPr="003D252D" w:rsidRDefault="00497CCA" w:rsidP="00497CCA">
      <w:pPr>
        <w:ind w:firstLine="1418"/>
        <w:jc w:val="both"/>
        <w:rPr>
          <w:rFonts w:ascii="Bookman Old Style" w:eastAsia="Calibri" w:hAnsi="Bookman Old Style"/>
          <w:sz w:val="22"/>
          <w:szCs w:val="22"/>
          <w:lang w:eastAsia="en-US"/>
        </w:rPr>
      </w:pPr>
    </w:p>
    <w:p w:rsidR="00497CCA" w:rsidRPr="003D252D" w:rsidRDefault="00497CCA" w:rsidP="00497CCA">
      <w:pPr>
        <w:ind w:firstLine="1418"/>
        <w:jc w:val="both"/>
        <w:rPr>
          <w:rFonts w:ascii="Bookman Old Style" w:eastAsia="Calibri" w:hAnsi="Bookman Old Style"/>
          <w:sz w:val="22"/>
          <w:szCs w:val="22"/>
          <w:lang w:eastAsia="en-US"/>
        </w:rPr>
      </w:pPr>
      <w:r w:rsidRPr="003D252D">
        <w:rPr>
          <w:rFonts w:ascii="Bookman Old Style" w:eastAsia="Calibri" w:hAnsi="Bookman Old Style"/>
          <w:sz w:val="22"/>
          <w:szCs w:val="22"/>
          <w:lang w:eastAsia="en-US"/>
        </w:rPr>
        <w:t>Diante do exposto, rogo aos nobres pares o apoio para a aprovação do presente Projeto de Lei</w:t>
      </w:r>
      <w:r w:rsidR="00FB2852" w:rsidRPr="003D252D">
        <w:rPr>
          <w:rFonts w:ascii="Bookman Old Style" w:eastAsia="Calibri" w:hAnsi="Bookman Old Style"/>
          <w:sz w:val="22"/>
          <w:szCs w:val="22"/>
          <w:lang w:eastAsia="en-US"/>
        </w:rPr>
        <w:t xml:space="preserve"> Legislativo</w:t>
      </w:r>
      <w:r w:rsidRPr="003D252D">
        <w:rPr>
          <w:rFonts w:ascii="Bookman Old Style" w:eastAsia="Calibri" w:hAnsi="Bookman Old Style"/>
          <w:sz w:val="22"/>
          <w:szCs w:val="22"/>
          <w:lang w:eastAsia="en-US"/>
        </w:rPr>
        <w:t>.</w:t>
      </w:r>
    </w:p>
    <w:p w:rsidR="00497CCA" w:rsidRPr="003D252D" w:rsidRDefault="00497CCA" w:rsidP="00497CCA">
      <w:pPr>
        <w:ind w:firstLine="1418"/>
        <w:jc w:val="both"/>
        <w:rPr>
          <w:rFonts w:eastAsia="Calibri"/>
          <w:sz w:val="22"/>
          <w:szCs w:val="22"/>
          <w:lang w:eastAsia="en-US"/>
        </w:rPr>
      </w:pPr>
    </w:p>
    <w:p w:rsidR="00497CCA" w:rsidRPr="003D252D" w:rsidRDefault="00497CCA" w:rsidP="00497CCA">
      <w:pPr>
        <w:ind w:firstLine="1418"/>
        <w:jc w:val="both"/>
        <w:rPr>
          <w:sz w:val="22"/>
          <w:szCs w:val="22"/>
        </w:rPr>
      </w:pPr>
    </w:p>
    <w:p w:rsidR="00FB2852" w:rsidRPr="003D252D" w:rsidRDefault="00FB2852" w:rsidP="00FB2852">
      <w:pPr>
        <w:tabs>
          <w:tab w:val="left" w:pos="1134"/>
          <w:tab w:val="left" w:pos="4111"/>
        </w:tabs>
        <w:suppressAutoHyphens/>
        <w:jc w:val="center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DARLEI LUIS KAUFMANN </w:t>
      </w:r>
    </w:p>
    <w:p w:rsidR="00FB2852" w:rsidRPr="003D252D" w:rsidRDefault="00FB2852" w:rsidP="00FB2852">
      <w:pPr>
        <w:suppressAutoHyphens/>
        <w:jc w:val="center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VEREADOR DO PSB </w:t>
      </w:r>
    </w:p>
    <w:p w:rsidR="00FB2852" w:rsidRPr="003D252D" w:rsidRDefault="00FB2852" w:rsidP="00FB2852">
      <w:pPr>
        <w:suppressAutoHyphens/>
        <w:jc w:val="both"/>
        <w:rPr>
          <w:rFonts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ELONY EDGAR NYLAND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>SÉRGIO KROETZ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VEREADOR DO MDB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>VEREADOR DO PP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CELINA TEIXEIRA CHRISTOVÃO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EDERSON ARANTES BUENO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     VEREADORA DO MDB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>VEREADOR DO MDB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 xml:space="preserve">NILTON JOSÉ TAVARES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RAMON ARNOLD</w:t>
      </w: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VEREADOR DO PP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      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>VEREADOR DO PP</w:t>
      </w:r>
    </w:p>
    <w:p w:rsidR="009E4CB1" w:rsidRPr="003D252D" w:rsidRDefault="009E4CB1" w:rsidP="00FB2852">
      <w:pPr>
        <w:suppressAutoHyphens/>
        <w:jc w:val="both"/>
        <w:rPr>
          <w:rFonts w:ascii="Bookman Old Style" w:hAnsi="Bookman Old Style" w:cs="Bookman Old Style"/>
          <w:b/>
          <w:sz w:val="22"/>
          <w:szCs w:val="22"/>
          <w:lang w:eastAsia="zh-CN"/>
        </w:rPr>
      </w:pPr>
    </w:p>
    <w:p w:rsidR="00FB2852" w:rsidRPr="003D252D" w:rsidRDefault="00FB2852" w:rsidP="00FB2852">
      <w:pPr>
        <w:suppressAutoHyphens/>
        <w:jc w:val="both"/>
        <w:rPr>
          <w:rFonts w:ascii="Bookman Old Style" w:hAnsi="Bookman Old Style"/>
          <w:sz w:val="22"/>
          <w:szCs w:val="22"/>
          <w:lang w:eastAsia="zh-CN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PAULINO ADALBERTO RENZ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  SHEILA DA SILVA       </w:t>
      </w:r>
    </w:p>
    <w:p w:rsidR="00497CCA" w:rsidRDefault="00FB2852" w:rsidP="00FB2852">
      <w:pPr>
        <w:rPr>
          <w:rFonts w:eastAsia="Calibri"/>
          <w:lang w:eastAsia="en-US"/>
        </w:rPr>
      </w:pP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>VEREADOR DO PDT</w:t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</w:r>
      <w:r w:rsidRPr="003D252D">
        <w:rPr>
          <w:rFonts w:ascii="Bookman Old Style" w:hAnsi="Bookman Old Style" w:cs="Bookman Old Style"/>
          <w:b/>
          <w:sz w:val="22"/>
          <w:szCs w:val="22"/>
          <w:lang w:eastAsia="zh-CN"/>
        </w:rPr>
        <w:tab/>
        <w:t xml:space="preserve">                VEREADORA DO PT</w:t>
      </w:r>
    </w:p>
    <w:p w:rsidR="00497CCA" w:rsidRDefault="00497CCA" w:rsidP="00497CCA">
      <w:pPr>
        <w:ind w:firstLine="1418"/>
        <w:jc w:val="center"/>
        <w:rPr>
          <w:rFonts w:eastAsia="Calibri"/>
          <w:lang w:eastAsia="en-US"/>
        </w:rPr>
      </w:pPr>
    </w:p>
    <w:p w:rsidR="00497CCA" w:rsidRDefault="00497CCA" w:rsidP="00497CCA"/>
    <w:sectPr w:rsidR="00497CCA" w:rsidSect="009E4CB1">
      <w:pgSz w:w="11906" w:h="16838"/>
      <w:pgMar w:top="297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AA8" w:rsidRDefault="00EE4AA8" w:rsidP="00497CCA">
      <w:r>
        <w:separator/>
      </w:r>
    </w:p>
  </w:endnote>
  <w:endnote w:type="continuationSeparator" w:id="0">
    <w:p w:rsidR="00EE4AA8" w:rsidRDefault="00EE4AA8" w:rsidP="00497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AA8" w:rsidRDefault="00EE4AA8" w:rsidP="00497CCA">
      <w:r>
        <w:separator/>
      </w:r>
    </w:p>
  </w:footnote>
  <w:footnote w:type="continuationSeparator" w:id="0">
    <w:p w:rsidR="00EE4AA8" w:rsidRDefault="00EE4AA8" w:rsidP="00497C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CCA"/>
    <w:rsid w:val="0007780D"/>
    <w:rsid w:val="003B23C4"/>
    <w:rsid w:val="003D252D"/>
    <w:rsid w:val="00497CCA"/>
    <w:rsid w:val="005912D6"/>
    <w:rsid w:val="00644EC9"/>
    <w:rsid w:val="008E4569"/>
    <w:rsid w:val="009E4CB1"/>
    <w:rsid w:val="00A21687"/>
    <w:rsid w:val="00EE4AA8"/>
    <w:rsid w:val="00FB2852"/>
    <w:rsid w:val="00FE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E0F17D-940A-4A02-A222-E3F75BD15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7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qFormat/>
    <w:rsid w:val="00497CCA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TextodenotaderodapChar">
    <w:name w:val="Texto de nota de rodapé Char"/>
    <w:link w:val="Textodenotaderodap"/>
    <w:semiHidden/>
    <w:qFormat/>
    <w:rsid w:val="00497CCA"/>
    <w:rPr>
      <w:rFonts w:eastAsia="SimSun"/>
      <w:kern w:val="2"/>
      <w:lang w:eastAsia="zh-CN"/>
    </w:rPr>
  </w:style>
  <w:style w:type="paragraph" w:styleId="Textodenotaderodap">
    <w:name w:val="footnote text"/>
    <w:basedOn w:val="Normal"/>
    <w:link w:val="TextodenotaderodapChar"/>
    <w:semiHidden/>
    <w:unhideWhenUsed/>
    <w:rsid w:val="00497CCA"/>
    <w:pPr>
      <w:widowControl w:val="0"/>
      <w:suppressLineNumbers/>
      <w:suppressAutoHyphens/>
      <w:ind w:left="339" w:hanging="339"/>
    </w:pPr>
    <w:rPr>
      <w:rFonts w:asciiTheme="minorHAnsi" w:eastAsia="SimSun" w:hAnsiTheme="minorHAnsi" w:cstheme="minorBidi"/>
      <w:kern w:val="2"/>
      <w:sz w:val="22"/>
      <w:szCs w:val="22"/>
      <w:lang w:eastAsia="zh-CN"/>
    </w:rPr>
  </w:style>
  <w:style w:type="character" w:customStyle="1" w:styleId="TextodenotaderodapChar1">
    <w:name w:val="Texto de nota de rodapé Char1"/>
    <w:basedOn w:val="Fontepargpadro"/>
    <w:uiPriority w:val="99"/>
    <w:semiHidden/>
    <w:rsid w:val="00497CC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semiHidden/>
    <w:unhideWhenUsed/>
    <w:rsid w:val="00497C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580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darlei kaufmann</dc:creator>
  <cp:keywords/>
  <dc:description/>
  <cp:lastModifiedBy>maciel</cp:lastModifiedBy>
  <cp:revision>4</cp:revision>
  <dcterms:created xsi:type="dcterms:W3CDTF">2021-10-27T14:37:00Z</dcterms:created>
  <dcterms:modified xsi:type="dcterms:W3CDTF">2021-10-28T13:24:00Z</dcterms:modified>
</cp:coreProperties>
</file>