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2"/>
        <w:spacing w:before="200" w:after="12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 xml:space="preserve">PROJETO DE LEI Nº </w:t>
      </w:r>
      <w:r>
        <w:rPr>
          <w:rFonts w:ascii="Noto Serif Light" w:hAnsi="Noto Serif Light"/>
          <w:sz w:val="22"/>
          <w:szCs w:val="22"/>
          <w:lang w:val="pt-BR"/>
        </w:rPr>
        <w:t>49/2022</w:t>
      </w:r>
    </w:p>
    <w:p>
      <w:pPr>
        <w:pStyle w:val="Corpodotexto"/>
        <w:rPr>
          <w:rFonts w:ascii="Noto Serif Light" w:hAnsi="Noto Serif Light"/>
          <w:sz w:val="16"/>
          <w:szCs w:val="16"/>
          <w:lang w:val="pt-BR"/>
        </w:rPr>
      </w:pPr>
      <w:r>
        <w:rPr>
          <w:rFonts w:ascii="Noto Serif Light" w:hAnsi="Noto Serif Light"/>
          <w:sz w:val="16"/>
          <w:szCs w:val="16"/>
          <w:lang w:val="pt-BR"/>
        </w:rPr>
      </w:r>
    </w:p>
    <w:p>
      <w:pPr>
        <w:pStyle w:val="Corpodotexto"/>
        <w:spacing w:lineRule="auto" w:line="360" w:before="0" w:after="140"/>
        <w:ind w:left="2835" w:right="0" w:hanging="0"/>
        <w:jc w:val="both"/>
        <w:rPr>
          <w:rFonts w:ascii="Noto Serif Light" w:hAnsi="Noto Serif Light"/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lang w:val="pt-BR"/>
        </w:rPr>
        <w:t>“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 xml:space="preserve">CRIA O PROGRAMA MUNICIPAL DE COMBATE AO </w:t>
      </w:r>
      <w:r>
        <w:rPr>
          <w:rFonts w:ascii="Noto Serif Light" w:hAnsi="Noto Serif Light"/>
          <w:b/>
          <w:bCs/>
          <w:i/>
          <w:iCs/>
          <w:sz w:val="22"/>
          <w:szCs w:val="22"/>
          <w:lang w:val="pt-BR"/>
        </w:rPr>
        <w:t>AEDES AEGYPTI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 xml:space="preserve"> E DÁ OUTRAS PROVIDÊNCIAS.”</w:t>
      </w:r>
    </w:p>
    <w:p>
      <w:pPr>
        <w:pStyle w:val="Corpodotexto"/>
        <w:spacing w:lineRule="auto" w:line="276" w:before="0" w:after="140"/>
        <w:ind w:left="5046" w:right="0" w:hanging="0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JERRI ADRIANI MENEGHETI</w:t>
      </w:r>
      <w:r>
        <w:rPr>
          <w:rFonts w:ascii="Noto Serif Light" w:hAnsi="Noto Serif Light"/>
          <w:sz w:val="22"/>
          <w:szCs w:val="22"/>
          <w:lang w:val="pt-BR"/>
        </w:rPr>
        <w:t>, Prefeito Municipal de Dois Irmãos. Faço saber que a Câmara Municipal aprovou e eu sanciono e promulgo a seguinte Lei:</w:t>
      </w:r>
    </w:p>
    <w:p>
      <w:pPr>
        <w:pStyle w:val="Corpodotexto"/>
        <w:jc w:val="both"/>
        <w:rPr>
          <w:rFonts w:ascii="Noto Serif Light" w:hAnsi="Noto Serif Light"/>
          <w:sz w:val="16"/>
          <w:szCs w:val="16"/>
          <w:lang w:val="pt-BR"/>
        </w:rPr>
      </w:pPr>
      <w:r>
        <w:rPr>
          <w:rFonts w:ascii="Noto Serif Light" w:hAnsi="Noto Serif Light"/>
          <w:sz w:val="16"/>
          <w:szCs w:val="16"/>
          <w:lang w:val="pt-BR"/>
        </w:rPr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lang w:val="pt-BR"/>
        </w:rPr>
        <w:t>LEI</w:t>
      </w:r>
    </w:p>
    <w:p>
      <w:pPr>
        <w:pStyle w:val="Corpodotexto"/>
        <w:jc w:val="center"/>
        <w:rPr>
          <w:rFonts w:ascii="Noto Serif Light" w:hAnsi="Noto Serif Light"/>
          <w:b/>
          <w:b/>
          <w:bCs/>
          <w:sz w:val="8"/>
          <w:szCs w:val="8"/>
          <w:lang w:val="pt-BR"/>
        </w:rPr>
      </w:pPr>
      <w:r>
        <w:rPr>
          <w:rFonts w:ascii="Noto Serif Light" w:hAnsi="Noto Serif Light"/>
          <w:b/>
          <w:bCs/>
          <w:sz w:val="8"/>
          <w:szCs w:val="8"/>
          <w:lang w:val="pt-BR"/>
        </w:rPr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lang w:val="pt-BR"/>
        </w:rPr>
        <w:t>TÍTULO I</w:t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lang w:val="pt-BR"/>
        </w:rPr>
        <w:t>DAS DISPOSIÇÕES PRELIMINARES</w:t>
      </w:r>
    </w:p>
    <w:p>
      <w:pPr>
        <w:pStyle w:val="Corpodotexto"/>
        <w:jc w:val="center"/>
        <w:rPr>
          <w:rFonts w:ascii="Noto Serif Light" w:hAnsi="Noto Serif Light"/>
          <w:b/>
          <w:b/>
          <w:bCs/>
          <w:sz w:val="6"/>
          <w:szCs w:val="6"/>
          <w:lang w:val="pt-BR"/>
        </w:rPr>
      </w:pPr>
      <w:r>
        <w:rPr>
          <w:rFonts w:ascii="Noto Serif Light" w:hAnsi="Noto Serif Light"/>
          <w:b/>
          <w:bCs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1º</w:t>
      </w:r>
      <w:r>
        <w:rPr>
          <w:rFonts w:ascii="Noto Serif Light" w:hAnsi="Noto Serif Light"/>
          <w:sz w:val="22"/>
          <w:szCs w:val="22"/>
          <w:lang w:val="pt-BR"/>
        </w:rPr>
        <w:t xml:space="preserve"> Fica criado o "Programa Municipal  de Combate ao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</w:t>
      </w:r>
      <w:r>
        <w:rPr>
          <w:rFonts w:ascii="Noto Serif Light" w:hAnsi="Noto Serif Light"/>
          <w:sz w:val="22"/>
          <w:szCs w:val="22"/>
          <w:lang w:val="pt-BR"/>
        </w:rPr>
        <w:t xml:space="preserve"> ", que tem como objetivo controlar as infestações de mosquitos, bem como evitar a incidência da dengue, do zika vírus, da febre chikungunya e febre amarela urbana.</w:t>
      </w:r>
    </w:p>
    <w:p>
      <w:pPr>
        <w:pStyle w:val="Corpodotexto"/>
        <w:jc w:val="both"/>
        <w:rPr>
          <w:rFonts w:ascii="Noto Serif Light" w:hAnsi="Noto Serif Light"/>
          <w:sz w:val="10"/>
          <w:szCs w:val="10"/>
          <w:lang w:val="pt-BR"/>
        </w:rPr>
      </w:pPr>
      <w:r>
        <w:rPr>
          <w:rFonts w:ascii="Noto Serif Light" w:hAnsi="Noto Serif Light"/>
          <w:sz w:val="10"/>
          <w:szCs w:val="10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2º</w:t>
      </w:r>
      <w:r>
        <w:rPr>
          <w:rFonts w:ascii="Noto Serif Light" w:hAnsi="Noto Serif Light"/>
          <w:sz w:val="22"/>
          <w:szCs w:val="22"/>
          <w:lang w:val="pt-BR"/>
        </w:rPr>
        <w:t xml:space="preserve"> A coordenação do Programa Municipal de Combate ao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</w:t>
      </w:r>
      <w:r>
        <w:rPr>
          <w:rFonts w:ascii="Noto Serif Light" w:hAnsi="Noto Serif Light"/>
          <w:sz w:val="22"/>
          <w:szCs w:val="22"/>
          <w:lang w:val="pt-BR"/>
        </w:rPr>
        <w:t xml:space="preserve"> será realizada pela Secretaria Municipal de Saúde, de acordo com Programa Nacional de Controle da Dengue - PNCD, e a Vigilância em Saúde será responsável pelas ações de combate ao mosquito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 xml:space="preserve"> Aedes aegypti</w:t>
      </w:r>
      <w:r>
        <w:rPr>
          <w:rFonts w:ascii="Noto Serif Light" w:hAnsi="Noto Serif Light"/>
          <w:i w:val="false"/>
          <w:iCs w:val="false"/>
          <w:sz w:val="22"/>
          <w:szCs w:val="22"/>
          <w:lang w:val="pt-BR"/>
        </w:rPr>
        <w:t xml:space="preserve"> no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 xml:space="preserve"> </w:t>
      </w:r>
      <w:r>
        <w:rPr>
          <w:rFonts w:ascii="Noto Serif Light" w:hAnsi="Noto Serif Light"/>
          <w:sz w:val="22"/>
          <w:szCs w:val="22"/>
          <w:lang w:val="pt-BR"/>
        </w:rPr>
        <w:t>Município de Dois Irmãos.</w:t>
      </w:r>
    </w:p>
    <w:p>
      <w:pPr>
        <w:pStyle w:val="Corpodotexto"/>
        <w:jc w:val="both"/>
        <w:rPr>
          <w:rFonts w:ascii="Noto Serif Light" w:hAnsi="Noto Serif Light"/>
          <w:sz w:val="8"/>
          <w:szCs w:val="8"/>
          <w:lang w:val="pt-BR"/>
        </w:rPr>
      </w:pPr>
      <w:r>
        <w:rPr>
          <w:rFonts w:ascii="Noto Serif Light" w:hAnsi="Noto Serif Light"/>
          <w:sz w:val="8"/>
          <w:szCs w:val="8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3º</w:t>
      </w:r>
      <w:r>
        <w:rPr>
          <w:rFonts w:ascii="Noto Serif Light" w:hAnsi="Noto Serif Light"/>
          <w:sz w:val="22"/>
          <w:szCs w:val="22"/>
          <w:lang w:val="pt-BR"/>
        </w:rPr>
        <w:t xml:space="preserve"> O Programa Municipal de Combate ao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</w:t>
      </w:r>
      <w:r>
        <w:rPr>
          <w:rFonts w:ascii="Noto Serif Light" w:hAnsi="Noto Serif Light"/>
          <w:sz w:val="22"/>
          <w:szCs w:val="22"/>
          <w:lang w:val="pt-BR"/>
        </w:rPr>
        <w:t xml:space="preserve"> compreende uma série de ações preventivas por parte do Poder Público Municipal, dentre elas a conscientização e instrução educativa aos munícipes e responsáveis pelos estabelecimentos públicos e privados em geral, proprietários ou moradores/ocupantes de imóveis, no sentido de que estes são obrigados a adotar as medidas necessárias à manutenção de seus imóveis sem acúmulo de objetos e materiais que sirvam de criadouros, evitando condições que propiciem a instalação e proliferação de mosquitos vetores.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§ 1º Para fins da aplicação desta lei são considerados criadouros todos os objetos, recipientes, equipamentos, utensílios, dispositivos, vasilhames, pneumáticos, artefatos, acessórios, sucatas, itens arquitetônicos ou construtivos, inclusive os hidráulicos, plantas e outros que, constituídos por quaisquer tipos de materiais que devido a sua natureza, contenham ou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possam</w:t>
      </w:r>
      <w:r>
        <w:rPr>
          <w:rFonts w:ascii="Noto Serif Light" w:hAnsi="Noto Serif Light"/>
          <w:sz w:val="22"/>
          <w:szCs w:val="22"/>
          <w:lang w:val="pt-BR"/>
        </w:rPr>
        <w:t xml:space="preserve">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manter</w:t>
      </w:r>
      <w:r>
        <w:rPr>
          <w:rFonts w:ascii="Noto Serif Light" w:hAnsi="Noto Serif Light"/>
          <w:sz w:val="22"/>
          <w:szCs w:val="22"/>
          <w:lang w:val="pt-BR"/>
        </w:rPr>
        <w:t xml:space="preserve"> água em condições de proliferação de mosquitos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aegypti.</w:t>
      </w:r>
    </w:p>
    <w:p>
      <w:pPr>
        <w:pStyle w:val="Corpodotexto"/>
        <w:jc w:val="both"/>
        <w:rPr>
          <w:lang w:val="pt-BR"/>
        </w:rPr>
      </w:pPr>
      <w:r>
        <w:rPr>
          <w:rFonts w:ascii="Noto Serif Light" w:hAnsi="Noto Serif Light"/>
          <w:sz w:val="6"/>
          <w:szCs w:val="6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§ 2º São considerados focos quaisquer criadouros que contenham larvas de mosquitos, independente de pertencerem ou não a espécie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3º A manutenção predial dos imóveis compreende, ainda, manter drenadas/ secas as lajes e seus eventuais desníveis, demais locais que possa servir de criadouro do mosquito, bem como buracos e, conservar desobstruídas calhas e sistemas de drenagem, de forma a evitar que acumulem água.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4º</w:t>
      </w:r>
      <w:r>
        <w:rPr>
          <w:rFonts w:ascii="Noto Serif Light" w:hAnsi="Noto Serif Light"/>
          <w:sz w:val="22"/>
          <w:szCs w:val="22"/>
          <w:lang w:val="pt-BR"/>
        </w:rPr>
        <w:t xml:space="preserve"> O Programa Municipal de Combate ao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</w:t>
      </w:r>
      <w:r>
        <w:rPr>
          <w:rFonts w:ascii="Noto Serif Light" w:hAnsi="Noto Serif Light"/>
          <w:sz w:val="22"/>
          <w:szCs w:val="22"/>
          <w:lang w:val="pt-BR"/>
        </w:rPr>
        <w:t xml:space="preserve"> compreende uma série de ações ostensivas por parte do Poder Público Municipal, dentre elas: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I – a observância e aplicação dos instrumentos de controle do mosquito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 xml:space="preserve">Aedes aegypti </w:t>
      </w:r>
      <w:r>
        <w:rPr>
          <w:rFonts w:ascii="Noto Serif Light" w:hAnsi="Noto Serif Light"/>
          <w:i w:val="false"/>
          <w:iCs w:val="false"/>
          <w:sz w:val="22"/>
          <w:szCs w:val="22"/>
          <w:lang w:val="pt-BR"/>
        </w:rPr>
        <w:t>previstos nas normas estaduais e federais.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II- a realização de visitas pela Equipe de Combate às Endemias, Agentes de Saúde e demais autoridades sanitárias e ambientais a imóveis públicos e particulares para eliminação do mosquito e de seus criadouros em área identificada como potencial possuidor de focos;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III - o ingresso forçado em imóveis públicos e particulares, no caso de situação de abandono ou de ausência de pessoa que possa permitir o acesso de agente público, regularmente designado e identificado, quando se mostre essencial para a contenção do vetor.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IV - a realização de campanhas educativas e de orientação à população;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V - promover as medidas administrativas e requerimentos judiciais cabíveis para coibir, punir e responsabilizar os responsáveis por imóveis com criadouros ou focos do mosquito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</w:t>
      </w:r>
      <w:r>
        <w:rPr>
          <w:rFonts w:ascii="Noto Serif Light" w:hAnsi="Noto Serif Light"/>
          <w:sz w:val="22"/>
          <w:szCs w:val="22"/>
          <w:lang w:val="pt-BR"/>
        </w:rPr>
        <w:t>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VI – Implementar e manter atualizado o Cadastro de Coletores de Águas Pluviais - CCAP.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Parágrafo único</w:t>
      </w:r>
      <w:r>
        <w:rPr>
          <w:rFonts w:ascii="Noto Serif Light" w:hAnsi="Noto Serif Light"/>
          <w:sz w:val="22"/>
          <w:szCs w:val="22"/>
          <w:lang w:val="pt-BR"/>
        </w:rPr>
        <w:t>. Para efeitos do disposto no inciso II supra, entende-se por: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a</w:t>
      </w:r>
      <w:r>
        <w:rPr>
          <w:rFonts w:ascii="Noto Serif Light" w:hAnsi="Noto Serif Light"/>
          <w:sz w:val="22"/>
          <w:szCs w:val="22"/>
          <w:lang w:val="pt-BR"/>
        </w:rPr>
        <w:t>)</w:t>
      </w:r>
      <w:r>
        <w:rPr>
          <w:rFonts w:ascii="Noto Serif Light" w:hAnsi="Noto Serif Light"/>
          <w:sz w:val="22"/>
          <w:szCs w:val="22"/>
          <w:lang w:val="pt-BR"/>
        </w:rPr>
        <w:t xml:space="preserve"> imóvel em situação de abandono: aquele que demonstre flagrante ausência prolongada de utilização, o que pode ser verificado por suas características físicas, por sinais de inexistência de conservação, pelo relato de moradores da área ou por outros indícios que evidenciem a sua não utilização;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b</w:t>
      </w:r>
      <w:r>
        <w:rPr>
          <w:rFonts w:ascii="Noto Serif Light" w:hAnsi="Noto Serif Light"/>
          <w:sz w:val="22"/>
          <w:szCs w:val="22"/>
          <w:lang w:val="pt-BR"/>
        </w:rPr>
        <w:t>)</w:t>
      </w:r>
      <w:r>
        <w:rPr>
          <w:rFonts w:ascii="Noto Serif Light" w:hAnsi="Noto Serif Light"/>
          <w:sz w:val="22"/>
          <w:szCs w:val="22"/>
          <w:lang w:val="pt-BR"/>
        </w:rPr>
        <w:t xml:space="preserve"> ausência e impossibilidade de localização de pessoa que possa permitir o acesso ao imóvel: aquele em que ocorram duas visitas devidamente notificadas, em dias e períodos alternados, dentro do intervalo de sete (07) dias.</w:t>
      </w:r>
    </w:p>
    <w:p>
      <w:pPr>
        <w:pStyle w:val="Corpodotexto"/>
        <w:jc w:val="both"/>
        <w:rPr>
          <w:rFonts w:ascii="Noto Serif Light" w:hAnsi="Noto Serif Light"/>
          <w:sz w:val="16"/>
          <w:szCs w:val="16"/>
          <w:lang w:val="pt-BR"/>
        </w:rPr>
      </w:pPr>
      <w:r>
        <w:rPr>
          <w:rFonts w:ascii="Noto Serif Light" w:hAnsi="Noto Serif Light"/>
          <w:sz w:val="16"/>
          <w:szCs w:val="16"/>
          <w:lang w:val="pt-BR"/>
        </w:rPr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lang w:val="pt-BR"/>
        </w:rPr>
        <w:t>CAPÍTULO I</w:t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lang w:val="pt-BR"/>
        </w:rPr>
        <w:t>DO CADASTRO DE COLETORES DE ÁGUAS PLUVIAIS E SUAS CONDIÇÕES</w:t>
      </w:r>
    </w:p>
    <w:p>
      <w:pPr>
        <w:pStyle w:val="Corpodotexto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 xml:space="preserve">Art 5º </w:t>
      </w:r>
      <w:r>
        <w:rPr>
          <w:rFonts w:ascii="Noto Serif Light" w:hAnsi="Noto Serif Light"/>
          <w:sz w:val="22"/>
          <w:szCs w:val="22"/>
          <w:lang w:val="pt-BR"/>
        </w:rPr>
        <w:t>Fica criado o Cadastro de Coletores de Águas Pluviais  - CCAP, no qual deverão cadastrar-se todos os proprietários ou moradores, ocupantes ou locatários de imóveis que coletarem água da chuva.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1º Todo o proprietário, morador, ocupante ou locatário de imóvel, que vier a instalar cisterna ou bombona de coleta de água da chuva em sua casa deverá cadastrar-se junto ao Setor de Vigilância em Saúde no Cadastro de Coletores de Águas Pluviais - CCAP.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2º Após vistoria poderá proceder a conexão da tubulação da calha à cisterna ou colocação da bombona, ocasião em que emitir-se-á uma autorização de coleta de água pluvial.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3º Bombonas deverão ter tela milimétrica sobre a abertura que não poderá ficar abaixo do nível da água. Cisternas deverão ter o mesmo tipo de tela na entrada, na saída (ladrão) e sob a tampa. Estas telas ser devidamente ajustadas para evitar a entrada de mosquitos.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4º As telas deverão ser revisadas uma vez por semana para verificar se não há frestas, podendo ser fiscalizadas a qualquer momento pelos agentes da administração pública municipal.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§ 5º Se o uso da água permitir, deverá adicionar-se cloro à água coletada em cisternas e bombonas de forma que a concentração mantenha-se em 2 ppm (2 partes por milhão). 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6º Fica vedada a coleta de água em qualquer outro recipiente que não especificado nesse artigo.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6º</w:t>
      </w:r>
      <w:r>
        <w:rPr>
          <w:rFonts w:ascii="Noto Serif Light" w:hAnsi="Noto Serif Light"/>
          <w:sz w:val="22"/>
          <w:szCs w:val="22"/>
          <w:lang w:val="pt-BR"/>
        </w:rPr>
        <w:t xml:space="preserve"> A não realização do Cadastro de Coletores de Águas Pluviais – CCAP, sujeitará o  proprietário, morador, ocupante ou locatário de imóvel, a multa. 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 xml:space="preserve"> </w:t>
      </w: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7º</w:t>
      </w:r>
      <w:r>
        <w:rPr>
          <w:rFonts w:ascii="Noto Serif Light" w:hAnsi="Noto Serif Light"/>
          <w:sz w:val="22"/>
          <w:szCs w:val="22"/>
          <w:lang w:val="pt-BR"/>
        </w:rPr>
        <w:t xml:space="preserve"> A desativação de bombona ou cisterna cadastrada no Cadastro de Coletores de  Águas Pluviais CCAP deverá ser comunicada a Vigilância em Saúde, sob pena de aplicação de multa, caso não o faça</w:t>
      </w:r>
      <w:r>
        <w:rPr>
          <w:rFonts w:ascii="Noto Serif Light" w:hAnsi="Noto Serif Light"/>
          <w:color w:val="000000"/>
          <w:sz w:val="22"/>
          <w:szCs w:val="22"/>
          <w:lang w:val="pt-BR"/>
        </w:rPr>
        <w:t>.</w:t>
      </w:r>
    </w:p>
    <w:p>
      <w:pPr>
        <w:pStyle w:val="Corpodotexto"/>
        <w:jc w:val="both"/>
        <w:rPr>
          <w:color w:val="000000"/>
          <w:lang w:val="pt-B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highlight w:val="white"/>
          <w:lang w:val="pt-BR"/>
        </w:rPr>
        <w:t>CAPÍTULO II</w:t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highlight w:val="white"/>
          <w:lang w:val="pt-BR"/>
        </w:rPr>
        <w:t>DAS VISTORIAS E DA FISCALIZAÇÃO</w:t>
      </w:r>
    </w:p>
    <w:p>
      <w:pPr>
        <w:pStyle w:val="Corpodotexto"/>
        <w:jc w:val="center"/>
        <w:rPr>
          <w:rFonts w:ascii="Noto Serif Light" w:hAnsi="Noto Serif Light"/>
          <w:sz w:val="12"/>
          <w:szCs w:val="12"/>
          <w:highlight w:val="yellow"/>
          <w:lang w:val="pt-BR"/>
        </w:rPr>
      </w:pPr>
      <w:r>
        <w:rPr>
          <w:rFonts w:ascii="Noto Serif Light" w:hAnsi="Noto Serif Light"/>
          <w:sz w:val="12"/>
          <w:szCs w:val="12"/>
          <w:highlight w:val="yellow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color w:val="000000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color w:val="000000"/>
          <w:sz w:val="22"/>
          <w:szCs w:val="22"/>
          <w:lang w:val="pt-BR"/>
        </w:rPr>
        <w:t>Art. 8º</w:t>
      </w:r>
      <w:r>
        <w:rPr>
          <w:rFonts w:ascii="Noto Serif Light" w:hAnsi="Noto Serif Light"/>
          <w:color w:val="000000"/>
          <w:sz w:val="22"/>
          <w:szCs w:val="22"/>
          <w:lang w:val="pt-BR"/>
        </w:rPr>
        <w:t xml:space="preserve"> Nos casos em que houver a necessidade de ingresso forçado em imóveis públicos ou particulares, o agente público competente emitirá relatório circunstanciado do local em que for verificada a impossibilidade de entrada por abandono ou ausência de pessoa que possa permitir o acesso de agente público.</w:t>
      </w:r>
    </w:p>
    <w:p>
      <w:pPr>
        <w:pStyle w:val="Corpodotexto"/>
        <w:jc w:val="both"/>
        <w:rPr>
          <w:rFonts w:ascii="Noto Serif Light" w:hAnsi="Noto Serif Light"/>
          <w:color w:val="C9211E"/>
          <w:sz w:val="6"/>
          <w:szCs w:val="6"/>
          <w:lang w:val="pt-BR"/>
        </w:rPr>
      </w:pPr>
      <w:r>
        <w:rPr>
          <w:rFonts w:ascii="Noto Serif Light" w:hAnsi="Noto Serif Light"/>
          <w:color w:val="C9211E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1º Sempre que se mostrar necessário, o agente público competente poderá requerer o auxílio à autoridade policial.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2º Na hipótese de abandono do imóvel ou de ausência de pessoa que possa permitir o acesso de agente público, o ingresso forçado deverá ser realizado buscando-se sempre a preservação da integridade do imóvel, mediante autorização judicial.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§ 3º Constarão no relatório circunstanciado as medidas sanitárias adotadas para o controle do 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Aedes aegypti</w:t>
      </w:r>
      <w:r>
        <w:rPr>
          <w:rFonts w:ascii="Noto Serif Light" w:hAnsi="Noto Serif Light"/>
          <w:sz w:val="22"/>
          <w:szCs w:val="22"/>
          <w:lang w:val="pt-BR"/>
        </w:rPr>
        <w:t xml:space="preserve"> e relação de criadouros do mosquito tratados, eliminados ou para os quais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encaminhou-se providências.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9º</w:t>
      </w:r>
      <w:r>
        <w:rPr>
          <w:rFonts w:ascii="Noto Serif Light" w:hAnsi="Noto Serif Light"/>
          <w:sz w:val="22"/>
          <w:szCs w:val="22"/>
          <w:lang w:val="pt-BR"/>
        </w:rPr>
        <w:t xml:space="preserve"> No caso de recusa em permitir o ingresso do agente público, regularmente designado e identificado, na propriedade a ser vistoriada, o fato deverá ser cientificado ao Setor de Vigilância em Saúde, para que adote as medidas necessárias a realização da vistoria no imóvel.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1º Caso o proprietário, morador, ocupante ou locatário do imóvel se recuse a permitir a entrada no imóvel, o fiscal procederá a sua autuação, através do Auto de Infração e aplicação da penalidade de multa.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§ 2º O valor da multa será devida pelo autuado e recolhida a </w:t>
      </w:r>
      <w:r>
        <w:rPr>
          <w:rFonts w:ascii="Noto Serif Light" w:hAnsi="Noto Serif Light"/>
          <w:sz w:val="22"/>
          <w:szCs w:val="22"/>
          <w:lang w:val="pt-BR"/>
        </w:rPr>
        <w:t>Vigilância em Saúde ASPS</w:t>
      </w:r>
      <w:r>
        <w:rPr>
          <w:rFonts w:ascii="Noto Serif Light" w:hAnsi="Noto Serif Light"/>
          <w:sz w:val="22"/>
          <w:szCs w:val="22"/>
          <w:lang w:val="pt-BR"/>
        </w:rPr>
        <w:t>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10.</w:t>
      </w:r>
      <w:r>
        <w:rPr>
          <w:rFonts w:ascii="Noto Serif Light" w:hAnsi="Noto Serif Light"/>
          <w:sz w:val="22"/>
          <w:szCs w:val="22"/>
          <w:lang w:val="pt-BR"/>
        </w:rPr>
        <w:t xml:space="preserve"> Os proprietários, moradores, ocupantes ou locatários de imóveis onde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os agentes constarem</w:t>
      </w:r>
      <w:r>
        <w:rPr>
          <w:rFonts w:ascii="Noto Serif Light" w:hAnsi="Noto Serif Light"/>
          <w:sz w:val="22"/>
          <w:szCs w:val="22"/>
          <w:lang w:val="pt-BR"/>
        </w:rPr>
        <w:t xml:space="preserve">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a presença de</w:t>
      </w:r>
      <w:r>
        <w:rPr>
          <w:rFonts w:ascii="Noto Serif Light" w:hAnsi="Noto Serif Light"/>
          <w:sz w:val="22"/>
          <w:szCs w:val="22"/>
          <w:lang w:val="pt-BR"/>
        </w:rPr>
        <w:t xml:space="preserve"> criadouros de mosquitos serão solicitados a efetuar a limpeza e eliminação dos criadouros no prazo de 03 (três) dias ou imediatamente, se a situação assim o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permit</w:t>
      </w:r>
      <w:r>
        <w:rPr>
          <w:rFonts w:ascii="Noto Serif Light" w:hAnsi="Noto Serif Light"/>
          <w:sz w:val="22"/>
          <w:szCs w:val="22"/>
          <w:lang w:val="pt-BR"/>
        </w:rPr>
        <w:t>ir e, caso haja concessão de prazo, o fato será registrado em Ficha de atendimento própria.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§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1</w:t>
      </w:r>
      <w:r>
        <w:rPr>
          <w:rFonts w:ascii="Noto Serif Light" w:hAnsi="Noto Serif Light"/>
          <w:sz w:val="22"/>
          <w:szCs w:val="22"/>
          <w:lang w:val="pt-BR"/>
        </w:rPr>
        <w:t xml:space="preserve">° Caso o morador não execute a limpeza e eliminação dos criadouros no prazo estipulado, o proprietário, morador, ocupante ou locatário do imóvel será notificado pela fiscalização da Vigilância em Saúde ou fiscalização ambiental, bem como por seus agentes. 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 xml:space="preserve">§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2</w:t>
      </w:r>
      <w:r>
        <w:rPr>
          <w:rFonts w:ascii="Noto Serif Light" w:hAnsi="Noto Serif Light"/>
          <w:sz w:val="22"/>
          <w:szCs w:val="22"/>
          <w:lang w:val="pt-BR"/>
        </w:rPr>
        <w:t>° Caso não seja cumprida a notificação, o Poder Público Municipal lavrará o Auto de Infração e aplicará a penalidade de multa cabível.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11.</w:t>
      </w:r>
      <w:r>
        <w:rPr>
          <w:rFonts w:ascii="Noto Serif Light" w:hAnsi="Noto Serif Light"/>
          <w:sz w:val="22"/>
          <w:szCs w:val="22"/>
          <w:lang w:val="pt-BR"/>
        </w:rPr>
        <w:t xml:space="preserve"> Ficam os responsáveis pelas imobiliárias obrigados a colaborar com as autoridades sanitárias, sempre que solicitados, fornecendo informações que possibilitem encaminhar notificações e autos de infração aos responsáveis por imóveis desocupados e que estejam sob sua administração, bem como acompanhar os agentes de combate às endemias na realização dos trabalhos de remoção dos criadouros.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1º Os responsáveis pelas imobiliárias deverão sempre solicitar aos seus corretores e potenciais clientes, que adotem medidas que inviabilizem a proliferação de mosquitos vetores nos imóveis desocupados, principalmente na proteção de ralos, piscinas entre outros objetos que possam acumular água, bem como informar as autoridades sanitárias sobre a constatação de focos de mosquitos.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2º Em caso de não colaboração da imobiliária, a quem coube a administração do imóvel, a mesma poderá ser autuada e estará sujeita ao pagamento de multa.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</w:rPr>
      </w:pPr>
      <w:r>
        <w:rPr>
          <w:rFonts w:ascii="Noto Serif Light" w:hAnsi="Noto Serif Light"/>
          <w:sz w:val="6"/>
          <w:szCs w:val="6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12.</w:t>
      </w:r>
      <w:r>
        <w:rPr>
          <w:rFonts w:ascii="Noto Serif Light" w:hAnsi="Noto Serif Light"/>
          <w:sz w:val="22"/>
          <w:szCs w:val="22"/>
          <w:lang w:val="pt-BR"/>
        </w:rPr>
        <w:t xml:space="preserve"> Os gestores dos cemitérios públicos e privados deverão garantir a manutenção diária do local para evitar o acúmulo de água, bem como divulgar a proibição de uso de vasos, objetos ou adornos que possam acumular água ou que contenham envoltórios, incluindo papel-celofane, que possam servir de reservatórios para a criação de mosquitos. A divulgação deverá ser feita através da colocação de placas informativas em todas as entradas dos cemitérios, conforme preconizado na Lei Municipal 4977/2021, ou da norma que vier a substituí-la.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color w:val="000000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color w:val="000000"/>
          <w:sz w:val="22"/>
          <w:szCs w:val="22"/>
          <w:lang w:val="pt-BR"/>
        </w:rPr>
        <w:t>Art. 13.</w:t>
      </w:r>
      <w:r>
        <w:rPr>
          <w:rFonts w:ascii="Noto Serif Light" w:hAnsi="Noto Serif Light"/>
          <w:color w:val="000000"/>
          <w:sz w:val="22"/>
          <w:szCs w:val="22"/>
          <w:lang w:val="pt-BR"/>
        </w:rPr>
        <w:t xml:space="preserve"> Ficam os responsáveis por estabelecimentos existentes ou que venham a se instalar no município de Dois Irmãos como borracharias, empresas de remodelagem, recicladoras de sucatas e afins, depósitos de lixo reciclável, depósitos de veículos, desmanches e ferros-velhos, empreiteiras de construção civil, estabelecimentos de comércio de materiais de construção e estabelecimentos similares obrigados a adotar medidas que visem eliminar os criadouros dos mosquitos vetores, bem como:</w:t>
      </w:r>
    </w:p>
    <w:p>
      <w:pPr>
        <w:pStyle w:val="Corpodotexto"/>
        <w:jc w:val="both"/>
        <w:rPr>
          <w:rFonts w:ascii="Noto Serif Light" w:hAnsi="Noto Serif Light"/>
          <w:color w:val="000000"/>
          <w:sz w:val="6"/>
          <w:szCs w:val="6"/>
          <w:lang w:val="pt-BR"/>
        </w:rPr>
      </w:pPr>
      <w:r>
        <w:rPr>
          <w:rFonts w:ascii="Noto Serif Light" w:hAnsi="Noto Serif Light"/>
          <w:color w:val="000000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color w:val="000000"/>
          <w:sz w:val="22"/>
          <w:szCs w:val="22"/>
          <w:lang w:val="pt-BR"/>
        </w:rPr>
        <w:tab/>
        <w:t>I - manter os pneus secos e acondicionados em locais cobertos e devidamente vedados;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II - responsabilizar-se por encaminhar os resíduos de pneumáticos gerados em seus estabelecimentos a postos de recebimento para que sejam encaminhados a destinação final ambientalmente adequada;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III - manter secos e abrigados da chuva quaisquer recipientes, avulsos ou não, suscetíveis à acumulação de água;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IV - manter pátios de construções ou depósitos de máquinas limpos, de modo a evitar acúmulo de água;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V - promover o nivelamento de construções ou estruturas como calhas ou outras, de modo a evitar acúmulo de água em sua superfície.</w:t>
      </w:r>
    </w:p>
    <w:p>
      <w:pPr>
        <w:pStyle w:val="Corpodotexto"/>
        <w:tabs>
          <w:tab w:val="clear" w:pos="720"/>
          <w:tab w:val="left" w:pos="8505" w:leader="none"/>
        </w:tabs>
        <w:jc w:val="center"/>
        <w:rPr>
          <w:rFonts w:ascii="Noto Serif Light" w:hAnsi="Noto Serif Light"/>
          <w:sz w:val="12"/>
          <w:szCs w:val="12"/>
          <w:lang w:val="pt-BR"/>
        </w:rPr>
      </w:pPr>
      <w:r>
        <w:rPr>
          <w:rFonts w:ascii="Noto Serif Light" w:hAnsi="Noto Serif Light"/>
          <w:sz w:val="12"/>
          <w:szCs w:val="12"/>
          <w:lang w:val="pt-BR"/>
        </w:rPr>
      </w:r>
    </w:p>
    <w:p>
      <w:pPr>
        <w:pStyle w:val="Corpodotexto"/>
        <w:tabs>
          <w:tab w:val="clear" w:pos="720"/>
          <w:tab w:val="left" w:pos="8505" w:leader="none"/>
        </w:tabs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lang w:val="pt-BR"/>
        </w:rPr>
        <w:t xml:space="preserve">TÍTULO II </w:t>
      </w:r>
    </w:p>
    <w:p>
      <w:pPr>
        <w:pStyle w:val="Corpodotexto"/>
        <w:tabs>
          <w:tab w:val="clear" w:pos="720"/>
          <w:tab w:val="left" w:pos="8505" w:leader="none"/>
        </w:tabs>
        <w:jc w:val="center"/>
        <w:rPr>
          <w:b/>
          <w:b/>
          <w:bCs/>
          <w:lang w:val="pt-BR"/>
        </w:rPr>
      </w:pPr>
      <w:r>
        <w:rPr>
          <w:rFonts w:ascii="Noto Serif Light" w:hAnsi="Noto Serif Light"/>
          <w:sz w:val="8"/>
          <w:szCs w:val="8"/>
        </w:rPr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highlight w:val="white"/>
          <w:lang w:val="pt-BR"/>
        </w:rPr>
        <w:t>CAPÍTULO I</w:t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highlight w:val="white"/>
          <w:lang w:val="pt-BR"/>
        </w:rPr>
        <w:t>DAS INFRAÇÕES, PENALIDADES E DO AUTO DE INFRAÇÃO</w:t>
      </w:r>
    </w:p>
    <w:p>
      <w:pPr>
        <w:pStyle w:val="Corpodotexto"/>
        <w:jc w:val="both"/>
        <w:rPr>
          <w:lang w:val="pt-B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14.</w:t>
      </w:r>
      <w:r>
        <w:rPr>
          <w:rFonts w:ascii="Noto Serif Light" w:hAnsi="Noto Serif Light"/>
          <w:sz w:val="22"/>
          <w:szCs w:val="22"/>
          <w:lang w:val="pt-BR"/>
        </w:rPr>
        <w:t xml:space="preserve"> Os procedimentos administrativos relativos à notificações, autos de infração e aplicação de multas serão conduzidos pelos fiscais do Setor de Vigilância em Saúde e Departamento de Meio Ambiente.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15</w:t>
      </w:r>
      <w:r>
        <w:rPr>
          <w:rFonts w:ascii="Noto Serif Light" w:hAnsi="Noto Serif Light"/>
          <w:sz w:val="22"/>
          <w:szCs w:val="22"/>
          <w:lang w:val="pt-BR"/>
        </w:rPr>
        <w:t>. Sem prejuízo das sanções de natureza civil ou penais cabíveis, as infrações a esta lei serão punidas, alternativa ou cumulativamente, com as penalidades de:</w:t>
      </w:r>
    </w:p>
    <w:p>
      <w:pPr>
        <w:pStyle w:val="Normal"/>
        <w:jc w:val="both"/>
        <w:rPr>
          <w:lang w:val="pt-B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a) Advertência;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b) Multa;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c) Proibição de coletar águas pluviais, até que proceda regularização das inconformidades;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d) Eliminação da água coletada, quando não houver outra alternativa.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16.</w:t>
      </w:r>
      <w:r>
        <w:rPr>
          <w:rFonts w:ascii="Noto Serif Light" w:hAnsi="Noto Serif Light"/>
          <w:sz w:val="22"/>
          <w:szCs w:val="22"/>
          <w:lang w:val="pt-BR"/>
        </w:rPr>
        <w:t xml:space="preserve"> A multa será aplicada pela autoridade responsável através da lavratura de Auto de Infração, com posterior Notificação do infrator para a recolhê-la em conta </w:t>
      </w:r>
      <w:r>
        <w:rPr>
          <w:rFonts w:ascii="Noto Serif Light" w:hAnsi="Noto Serif Light"/>
          <w:color w:val="000000"/>
          <w:sz w:val="22"/>
          <w:szCs w:val="22"/>
          <w:shd w:fill="auto" w:val="clear"/>
          <w:lang w:val="pt-BR"/>
        </w:rPr>
        <w:t>da</w:t>
      </w:r>
      <w:r>
        <w:rPr>
          <w:rFonts w:ascii="Noto Serif Light" w:hAnsi="Noto Serif Light"/>
          <w:color w:val="auto"/>
          <w:sz w:val="22"/>
          <w:szCs w:val="22"/>
          <w:highlight w:val="yellow"/>
          <w:lang w:val="pt-BR"/>
        </w:rPr>
        <w:t xml:space="preserve"> </w:t>
      </w:r>
      <w:r>
        <w:rPr>
          <w:rFonts w:ascii="Noto Serif Light" w:hAnsi="Noto Serif Light"/>
          <w:color w:val="000000"/>
          <w:sz w:val="22"/>
          <w:szCs w:val="22"/>
          <w:shd w:fill="auto" w:val="clear"/>
          <w:lang w:val="pt-BR"/>
        </w:rPr>
        <w:t>Vigilância em Saúde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, dentro do prazo de 10 dias a contar da notificação, bem como, atende</w:t>
      </w:r>
      <w:r>
        <w:rPr>
          <w:rFonts w:ascii="Noto Serif Light" w:hAnsi="Noto Serif Light"/>
          <w:sz w:val="22"/>
          <w:szCs w:val="22"/>
          <w:lang w:val="pt-BR"/>
        </w:rPr>
        <w:t>r as demais exigências contidas no Auto.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1º O não recolhimento da multa dentro do prazo fixado neste artigo implicará na sua inscrição em dívida ativa e encaminhamento para cobrança judicial, na forma da legislação aplicável.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§ 2º O não atendimento das demais providências, acaso existentes e constantes do Auto de Infração implicarão em reincidência e aplicaçã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o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 xml:space="preserve">do valor 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da multa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triplicado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 xml:space="preserve">Art. 17. </w:t>
      </w:r>
      <w:r>
        <w:rPr>
          <w:rFonts w:ascii="Noto Serif Light" w:hAnsi="Noto Serif Light"/>
          <w:sz w:val="22"/>
          <w:szCs w:val="22"/>
          <w:lang w:val="pt-BR"/>
        </w:rPr>
        <w:t>O auto de infração, que será a base do procedimento administrativo relativo a infração, deverá ser lavrado em 3 (três) vias, pela autoridade sanitária ou ambiental ou seu agente, destinando-se a primeira via ao autuado, devendo conter: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a) nome e endereço do infrator, bem como os demais elementos necessários a sua qualificação e identificação;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b) local, dia e hora da lavratura onde a infração foi verificada;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c) descrição da infração e menção do dispositivo legal ou regulamentar transgredido;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d) penalidade a que está sujeito o infrator e o respectivo preceito legal que autoriza a sua imposição;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e) ciência, pelo autuado, de que responderá pelo fato;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f) assinatura do infrator ou, na sua ausência ou recusa, de duas testemunhas e do autuante;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g) prazo para interposição de recurso, quando cabível.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Parágrafo único</w:t>
      </w:r>
      <w:r>
        <w:rPr>
          <w:rFonts w:ascii="Noto Serif Light" w:hAnsi="Noto Serif Light"/>
          <w:sz w:val="22"/>
          <w:szCs w:val="22"/>
          <w:lang w:val="pt-BR"/>
        </w:rPr>
        <w:t>. Havendo recusa do infrator em assinar o auto, será feita neste a menção do fato.</w:t>
      </w:r>
    </w:p>
    <w:p>
      <w:pPr>
        <w:pStyle w:val="Normal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Normal"/>
        <w:jc w:val="both"/>
        <w:rPr>
          <w:lang w:val="pt-B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8.</w:t>
      </w:r>
      <w:r>
        <w:rPr>
          <w:rFonts w:ascii="Noto Serif Light" w:hAnsi="Noto Serif Light"/>
          <w:sz w:val="22"/>
          <w:szCs w:val="22"/>
          <w:lang w:val="pt-BR"/>
        </w:rPr>
        <w:t xml:space="preserve"> As omissões ou incorreções na lavratura do auto de infração não acarretarão nulidade do mesmo, quando do processo constarem elementos necessários à determinação da infração e do infrator.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1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9.</w:t>
      </w:r>
      <w:r>
        <w:rPr>
          <w:rFonts w:ascii="Noto Serif Light" w:hAnsi="Noto Serif Light"/>
          <w:sz w:val="22"/>
          <w:szCs w:val="22"/>
          <w:lang w:val="pt-BR"/>
        </w:rPr>
        <w:t xml:space="preserve"> Lavrado o Auto de Infração, a autoridade que o lavrou ficará responsável por seu integral cumprimento.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color w:val="C9211E"/>
          <w:sz w:val="22"/>
          <w:szCs w:val="22"/>
          <w:lang w:val="pt-BR"/>
        </w:rPr>
        <w:tab/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§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1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º Nos casos em que a infração exigir a ação pronta da autoridade sanitária ou ambiental para a proteção da saúde pública, a penalidade de eliminação de reservatórios de água, quando não houver outra alternativa presente neste regulamento, será aplicada de imediato, lavrando-se o Auto de Imposição de Penalidade independentemente da tramitação normal do Auto de Infração respectivo.</w:t>
      </w:r>
    </w:p>
    <w:p>
      <w:pPr>
        <w:pStyle w:val="Normal"/>
        <w:jc w:val="both"/>
        <w:rPr>
          <w:color w:val="auto"/>
          <w:lang w:val="pt-BR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  <w:lang w:val="pt-BR"/>
        </w:rPr>
        <w:tab/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§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2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º Quando o Departamento de Meio Ambiente for o órgão autuador, a documentação relativa a autuação deverá ser encaminhada ao Setor de Vigilância em Saúde para ciência e,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ao fim do processo para arquivamento, ou caso haja recurso, no prazo de 05 (cinco) dias úteis, para julgamento do Setor de Vigilância em Saúde ou autoridade imediatamente superior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.</w:t>
      </w:r>
    </w:p>
    <w:p>
      <w:pPr>
        <w:pStyle w:val="Normal"/>
        <w:jc w:val="both"/>
        <w:rPr>
          <w:lang w:val="pt-BR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 xml:space="preserve">Art. 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20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Os recursos serão interpostos por petição fundamentada, em até 10 (dez) dias,   contados da data em que o interessado ou seu procurador tiver tomado conhecimento da decisão, ou dela for notificado, nas formas previstas neste regulamento.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ab/>
      </w:r>
    </w:p>
    <w:p>
      <w:pPr>
        <w:pStyle w:val="Normal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1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Os prazos mencionados na presente lei correm ininterruptamente.</w:t>
      </w:r>
    </w:p>
    <w:p>
      <w:pPr>
        <w:pStyle w:val="Normal"/>
        <w:jc w:val="both"/>
        <w:rPr>
          <w:rFonts w:ascii="Noto Serif Light" w:hAnsi="Noto Serif Light"/>
          <w:sz w:val="22"/>
          <w:szCs w:val="22"/>
          <w:lang w:val="pt-BR"/>
        </w:rPr>
      </w:pPr>
      <w:r>
        <w:rPr>
          <w:rFonts w:ascii="Noto Serif Light" w:hAnsi="Noto Serif Light"/>
          <w:sz w:val="22"/>
          <w:szCs w:val="22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2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Para efeito de avaliação da multa a ser aplicada, serão utilizados os seguintes critérios:</w:t>
      </w:r>
    </w:p>
    <w:p>
      <w:pPr>
        <w:pStyle w:val="Corpodotexto"/>
        <w:spacing w:lineRule="auto" w:line="24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 – Em caso de residência:</w:t>
      </w:r>
    </w:p>
    <w:p>
      <w:pPr>
        <w:pStyle w:val="Corpodotexto"/>
        <w:spacing w:lineRule="auto" w:line="276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a) quando possível a remoção no ato da vistoria, não será aplicada multa;</w:t>
      </w:r>
    </w:p>
    <w:p>
      <w:pPr>
        <w:pStyle w:val="Corpodotexto"/>
        <w:spacing w:lineRule="auto" w:line="276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color w:val="C9211E"/>
          <w:sz w:val="22"/>
          <w:szCs w:val="22"/>
          <w:lang w:val="pt-BR"/>
        </w:rPr>
        <w:tab/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b) no caso de constatado um ou mais focos e sem condição de remoção imediata, o proprietário será notificado a proceder a limpeza, sob penas de multa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de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 0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2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 (duas) BCM’s;</w:t>
      </w:r>
    </w:p>
    <w:p>
      <w:pPr>
        <w:pStyle w:val="Corpodotexto"/>
        <w:spacing w:lineRule="auto" w:line="276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  <w:lang w:val="pt-BR"/>
        </w:rPr>
        <w:tab/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c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) no caso de constatado um ou mais focos, em re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servatórios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 que somem mais de mil litros e sem condição de remoção imediata, o proprietário será notificado a proceder a limpeza, sob pena de multa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de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 0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 xml:space="preserve">4 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(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quatro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) BCM’s;</w:t>
      </w:r>
    </w:p>
    <w:p>
      <w:pPr>
        <w:pStyle w:val="Corpodotexto"/>
        <w:spacing w:lineRule="auto" w:line="276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ab/>
        <w:t>d</w:t>
      </w:r>
      <w:bookmarkStart w:id="0" w:name="__DdeLink__425_4117367482"/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) no caso de não cadastrar-se no Cadastro Municipal de Coleta de Águas Pluviais CCPA no período de até </w:t>
      </w:r>
      <w:r>
        <w:rPr>
          <w:rFonts w:eastAsia="NSimSun" w:cs="Arial" w:ascii="Noto Serif Light" w:hAnsi="Noto Serif Light"/>
          <w:color w:val="000000"/>
          <w:kern w:val="2"/>
          <w:sz w:val="22"/>
          <w:szCs w:val="22"/>
          <w:shd w:fill="auto" w:val="clear"/>
          <w:lang w:val="pt-BR" w:eastAsia="zh-CN" w:bidi="hi-IN"/>
        </w:rPr>
        <w:t>10</w:t>
      </w:r>
      <w:r>
        <w:rPr>
          <w:rFonts w:ascii="Noto Serif Light" w:hAnsi="Noto Serif Light"/>
          <w:color w:val="000000"/>
          <w:sz w:val="22"/>
          <w:szCs w:val="22"/>
          <w:shd w:fill="auto" w:val="clear"/>
          <w:lang w:val="pt-BR"/>
        </w:rPr>
        <w:t xml:space="preserve"> dias, após ser notificado para tal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, será aplicada multa de 01 (uma) BCM</w:t>
      </w:r>
      <w:bookmarkEnd w:id="0"/>
      <w:r>
        <w:rPr>
          <w:rFonts w:ascii="Noto Serif Light" w:hAnsi="Noto Serif Light"/>
          <w:color w:val="auto"/>
          <w:sz w:val="22"/>
          <w:szCs w:val="22"/>
          <w:lang w:val="pt-BR"/>
        </w:rPr>
        <w:t>.</w:t>
      </w:r>
    </w:p>
    <w:p>
      <w:pPr>
        <w:pStyle w:val="Corpodotexto"/>
        <w:spacing w:lineRule="auto" w:line="276"/>
        <w:jc w:val="both"/>
        <w:rPr>
          <w:lang w:val="pt-BR"/>
        </w:rPr>
      </w:pPr>
      <w:r>
        <w:rPr>
          <w:rFonts w:ascii="Noto Serif Light" w:hAnsi="Noto Serif Light"/>
          <w:color w:val="auto"/>
          <w:sz w:val="6"/>
          <w:szCs w:val="6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II – Em caso de estabelecimento comercial ou de serviços: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a) quando possível a remoção no ato da vistoria, não será aplicada multa;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color w:val="auto"/>
          <w:sz w:val="22"/>
          <w:szCs w:val="22"/>
          <w:lang w:val="pt-BR"/>
        </w:rPr>
        <w:t>b) no caso de constatado um ou mais focos e sem condição de remoção imediata, o proprietário será notificado a proceder a limpeza, sob penas de multa de até 04 (quatro) BCM’s.</w:t>
      </w:r>
    </w:p>
    <w:p>
      <w:pPr>
        <w:pStyle w:val="Corpodotexto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  <w:lang w:val="pt-BR"/>
        </w:rPr>
        <w:tab/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c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) no caso de constatado um ou mais focos, em re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servatórios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 que somem mais de mil litros e sem condição de remoção imediata, o proprietário será notificado a proceder a limpeza, sob pena de multa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de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 0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 xml:space="preserve">8 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(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oito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) BCM’s;</w:t>
      </w:r>
    </w:p>
    <w:p>
      <w:pPr>
        <w:pStyle w:val="Corpodotexto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ab/>
        <w:t>d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 xml:space="preserve">) no caso de não cadastrar-se no Cadastro Municipal de Coleta de Águas Pluviais - CCPA no período de até </w:t>
      </w:r>
      <w:r>
        <w:rPr>
          <w:rFonts w:eastAsia="NSimSun" w:cs="Arial" w:ascii="Noto Serif Light" w:hAnsi="Noto Serif Light"/>
          <w:color w:val="000000"/>
          <w:kern w:val="2"/>
          <w:sz w:val="22"/>
          <w:szCs w:val="22"/>
          <w:shd w:fill="auto" w:val="clear"/>
          <w:lang w:val="pt-BR" w:eastAsia="zh-CN" w:bidi="hi-IN"/>
        </w:rPr>
        <w:t>10 dias</w:t>
      </w:r>
      <w:r>
        <w:rPr>
          <w:rFonts w:ascii="Noto Serif Light" w:hAnsi="Noto Serif Light"/>
          <w:color w:val="auto"/>
          <w:sz w:val="22"/>
          <w:szCs w:val="22"/>
          <w:lang w:val="pt-BR"/>
        </w:rPr>
        <w:t>, será aplicada multa de 02 (duas) BCM’s.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III - 02 (duas) BCM’s por negar-se a receber a fiscalização municipal</w:t>
      </w:r>
      <w:r>
        <w:rPr>
          <w:rFonts w:ascii="Noto Serif Light" w:hAnsi="Noto Serif Light"/>
          <w:i/>
          <w:iCs/>
          <w:sz w:val="22"/>
          <w:szCs w:val="22"/>
          <w:lang w:val="pt-BR"/>
        </w:rPr>
        <w:t>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trike w:val="false"/>
          <w:dstrike w:val="false"/>
          <w:sz w:val="22"/>
          <w:szCs w:val="22"/>
          <w:lang w:val="pt-BR"/>
        </w:rPr>
        <w:tab/>
        <w:t>IV – No caso de cemitérios as multas serão regradas pela Lei Municipal 4977/2021 ou da norma que vier a substituí-la.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trike w:val="false"/>
          <w:dstrike w:val="false"/>
          <w:color w:val="C9211E"/>
          <w:sz w:val="22"/>
          <w:szCs w:val="22"/>
          <w:shd w:fill="auto" w:val="clear"/>
          <w:lang w:val="pt-BR"/>
        </w:rPr>
        <w:tab/>
      </w:r>
      <w:r>
        <w:rPr>
          <w:rFonts w:ascii="Noto Serif Light" w:hAnsi="Noto Serif Light"/>
          <w:strike w:val="false"/>
          <w:dstrike w:val="false"/>
          <w:color w:val="000000"/>
          <w:sz w:val="22"/>
          <w:szCs w:val="22"/>
          <w:shd w:fill="auto" w:val="clear"/>
          <w:lang w:val="pt-BR"/>
        </w:rPr>
        <w:t>V– ½ (meia) BCM por não proceder o Cadastro de Coletores de Águas Pluviais – CCAP, no prazo previsto no art.24 desta Lei.</w:t>
      </w:r>
    </w:p>
    <w:p>
      <w:pPr>
        <w:pStyle w:val="Corpodotexto"/>
        <w:jc w:val="both"/>
        <w:rPr>
          <w:rFonts w:ascii="Noto Serif Light" w:hAnsi="Noto Serif Light"/>
          <w:color w:val="auto"/>
          <w:sz w:val="22"/>
          <w:szCs w:val="22"/>
          <w:shd w:fill="auto" w:val="clear"/>
        </w:rPr>
      </w:pPr>
      <w:r>
        <w:rPr>
          <w:rFonts w:ascii="Noto Serif Light" w:hAnsi="Noto Serif Light"/>
          <w:strike w:val="false"/>
          <w:dstrike w:val="false"/>
          <w:color w:val="000000"/>
          <w:sz w:val="22"/>
          <w:szCs w:val="22"/>
          <w:shd w:fill="auto" w:val="clear"/>
          <w:lang w:val="pt-BR"/>
        </w:rPr>
        <w:tab/>
        <w:t xml:space="preserve">VI - </w:t>
      </w:r>
      <w:r>
        <w:rPr>
          <w:rFonts w:eastAsia="NSimSun" w:cs="Arial" w:ascii="Noto Serif Light" w:hAnsi="Noto Serif Light"/>
          <w:strike w:val="false"/>
          <w:dstrike w:val="false"/>
          <w:color w:val="000000"/>
          <w:kern w:val="2"/>
          <w:sz w:val="22"/>
          <w:szCs w:val="22"/>
          <w:shd w:fill="auto" w:val="clear"/>
          <w:lang w:val="pt-BR" w:eastAsia="zh-CN" w:bidi="hi-IN"/>
        </w:rPr>
        <w:t xml:space="preserve">¼ </w:t>
      </w:r>
      <w:r>
        <w:rPr>
          <w:rFonts w:ascii="Noto Serif Light" w:hAnsi="Noto Serif Light"/>
          <w:strike w:val="false"/>
          <w:dstrike w:val="false"/>
          <w:color w:val="000000"/>
          <w:sz w:val="22"/>
          <w:szCs w:val="22"/>
          <w:shd w:fill="auto" w:val="clear"/>
          <w:lang w:val="pt-BR"/>
        </w:rPr>
        <w:t xml:space="preserve">(um </w:t>
      </w:r>
      <w:r>
        <w:rPr>
          <w:rFonts w:eastAsia="NSimSun" w:cs="Arial" w:ascii="Noto Serif Light" w:hAnsi="Noto Serif Light"/>
          <w:strike w:val="false"/>
          <w:dstrike w:val="false"/>
          <w:color w:val="000000"/>
          <w:kern w:val="2"/>
          <w:sz w:val="22"/>
          <w:szCs w:val="22"/>
          <w:shd w:fill="auto" w:val="clear"/>
          <w:lang w:val="pt-BR" w:eastAsia="zh-CN" w:bidi="hi-IN"/>
        </w:rPr>
        <w:t>quarto</w:t>
      </w:r>
      <w:r>
        <w:rPr>
          <w:rFonts w:ascii="Noto Serif Light" w:hAnsi="Noto Serif Light"/>
          <w:strike w:val="false"/>
          <w:dstrike w:val="false"/>
          <w:color w:val="000000"/>
          <w:sz w:val="22"/>
          <w:szCs w:val="22"/>
          <w:shd w:fill="auto" w:val="clear"/>
          <w:lang w:val="pt-BR"/>
        </w:rPr>
        <w:t>) de BCM por não informar sobre a desativação de cisterna ou bombona de coleta de água da chuva no Cadastro de Coletores de Águas Pluviais – CCAP;</w:t>
      </w:r>
    </w:p>
    <w:p>
      <w:pPr>
        <w:pStyle w:val="Corpodotexto"/>
        <w:jc w:val="both"/>
        <w:rPr>
          <w:rFonts w:ascii="Noto Serif Light" w:hAnsi="Noto Serif Light"/>
          <w:color w:val="auto"/>
          <w:sz w:val="22"/>
          <w:szCs w:val="22"/>
          <w:shd w:fill="auto" w:val="clear"/>
        </w:rPr>
      </w:pPr>
      <w:r>
        <w:rPr>
          <w:rFonts w:ascii="Noto Serif Light" w:hAnsi="Noto Serif Light"/>
          <w:strike w:val="false"/>
          <w:dstrike w:val="false"/>
          <w:color w:val="000000"/>
          <w:sz w:val="22"/>
          <w:szCs w:val="22"/>
          <w:shd w:fill="auto" w:val="clear"/>
          <w:lang w:val="pt-BR"/>
        </w:rPr>
        <w:tab/>
        <w:t>VII  02 (duas) BCM’s por não cumprimento do</w:t>
      </w:r>
      <w:r>
        <w:rPr>
          <w:rFonts w:ascii="Noto Serif Light" w:hAnsi="Noto Serif Light"/>
          <w:strike w:val="false"/>
          <w:dstrike w:val="false"/>
          <w:color w:val="000000"/>
          <w:sz w:val="22"/>
          <w:szCs w:val="22"/>
          <w:highlight w:val="yellow"/>
          <w:shd w:fill="auto" w:val="clear"/>
          <w:lang w:val="pt-BR"/>
        </w:rPr>
        <w:t xml:space="preserve"> Art. 11.</w:t>
      </w:r>
    </w:p>
    <w:p>
      <w:pPr>
        <w:pStyle w:val="Corpodotexto"/>
        <w:jc w:val="both"/>
        <w:rPr>
          <w:rFonts w:ascii="Noto Serif Light" w:hAnsi="Noto Serif Light"/>
          <w:strike w:val="false"/>
          <w:dstrike w:val="false"/>
          <w:sz w:val="6"/>
          <w:szCs w:val="6"/>
          <w:lang w:val="pt-BR"/>
        </w:rPr>
      </w:pPr>
      <w:r>
        <w:rPr>
          <w:rFonts w:ascii="Noto Serif Light" w:hAnsi="Noto Serif Light"/>
          <w:strike w:val="false"/>
          <w:dstrike w:val="false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trike w:val="false"/>
          <w:dstrike w:val="false"/>
          <w:color w:val="C9211E"/>
          <w:sz w:val="22"/>
          <w:szCs w:val="22"/>
          <w:lang w:val="pt-BR"/>
        </w:rPr>
        <w:tab/>
      </w:r>
      <w:r>
        <w:rPr>
          <w:rFonts w:ascii="Noto Serif Light" w:hAnsi="Noto Serif Light"/>
          <w:strike w:val="false"/>
          <w:dstrike w:val="false"/>
          <w:color w:val="auto"/>
          <w:sz w:val="22"/>
          <w:szCs w:val="22"/>
          <w:lang w:val="pt-BR"/>
        </w:rPr>
        <w:t xml:space="preserve">§ 1º </w:t>
      </w:r>
      <w:r>
        <w:rPr>
          <w:rFonts w:ascii="Noto Serif Light" w:hAnsi="Noto Serif Light"/>
          <w:b w:val="false"/>
          <w:bCs w:val="false"/>
          <w:strike w:val="false"/>
          <w:dstrike w:val="false"/>
          <w:color w:val="auto"/>
          <w:sz w:val="22"/>
          <w:szCs w:val="22"/>
          <w:lang w:val="pt-BR"/>
        </w:rPr>
        <w:t xml:space="preserve">No caso de reincidência, a </w:t>
      </w:r>
      <w:r>
        <w:rPr>
          <w:rFonts w:ascii="Noto Serif Light" w:hAnsi="Noto Serif Light"/>
          <w:b w:val="false"/>
          <w:bCs w:val="false"/>
          <w:color w:val="auto"/>
          <w:sz w:val="22"/>
          <w:szCs w:val="22"/>
          <w:lang w:val="pt-BR"/>
        </w:rPr>
        <w:t>multa terá seu valor triplicado;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shd w:fill="auto" w:val="clear"/>
          <w:lang w:val="pt-BR"/>
        </w:rPr>
        <w:tab/>
        <w:t>§ 2º Considera-se reincidência, a repetição da conduta, ocorrida em período igual ou inferior a 01 (um) ano.</w:t>
      </w:r>
    </w:p>
    <w:p>
      <w:pPr>
        <w:pStyle w:val="Corpodotexto"/>
        <w:jc w:val="both"/>
        <w:rPr>
          <w:lang w:val="pt-BR"/>
        </w:rPr>
      </w:pPr>
      <w:r>
        <w:rPr>
          <w:rFonts w:ascii="Noto Serif Light" w:hAnsi="Noto Serif Light"/>
          <w:color w:val="auto"/>
          <w:sz w:val="22"/>
          <w:szCs w:val="22"/>
        </w:rPr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3.</w:t>
      </w:r>
      <w:r>
        <w:rPr>
          <w:rFonts w:ascii="Noto Serif Light" w:hAnsi="Noto Serif Light"/>
          <w:sz w:val="22"/>
          <w:szCs w:val="22"/>
          <w:lang w:val="pt-BR"/>
        </w:rPr>
        <w:t xml:space="preserve"> No caso de desatendimento do constante do Auto de Infração, uma vez decorrido o prazo recursal e o assinalado para atendimento da penalidade, a autoridade que o lavrou o encaminhará à Procuradoria-Geral do Município para adoção das providências necessárias ao seu cumprimento.</w:t>
      </w:r>
    </w:p>
    <w:p>
      <w:pPr>
        <w:pStyle w:val="Normal"/>
        <w:jc w:val="both"/>
        <w:rPr>
          <w:rFonts w:ascii="Noto Serif Light" w:hAnsi="Noto Serif Light"/>
          <w:sz w:val="12"/>
          <w:szCs w:val="12"/>
          <w:lang w:val="pt-BR"/>
        </w:rPr>
      </w:pPr>
      <w:r>
        <w:rPr>
          <w:rFonts w:ascii="Noto Serif Light" w:hAnsi="Noto Serif Light"/>
          <w:sz w:val="12"/>
          <w:szCs w:val="12"/>
          <w:lang w:val="pt-BR"/>
        </w:rPr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highlight w:val="white"/>
          <w:lang w:val="pt-BR"/>
        </w:rPr>
        <w:t>CAPÍTULO II</w:t>
      </w:r>
    </w:p>
    <w:p>
      <w:pPr>
        <w:pStyle w:val="Corpodotexto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  <w:highlight w:val="white"/>
          <w:lang w:val="pt-BR"/>
        </w:rPr>
        <w:t>DAS DISPOSIÇÕES FINAIS E TRANSITÓRIAS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4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O Município de Dois Irmãos poderá realizar intervenção sanitária ambiental, que corresponde a todos os procedimentos de limpeza e eliminação dos criadouros do mosquitos vetores realizados pelo Poder Público Municipal, ante a inércia ou omissão de proprietários, locatários ou possuidores de imóveis.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Parágrafo único</w:t>
      </w:r>
      <w:r>
        <w:rPr>
          <w:rFonts w:ascii="Noto Serif Light" w:hAnsi="Noto Serif Light"/>
          <w:sz w:val="22"/>
          <w:szCs w:val="22"/>
          <w:lang w:val="pt-BR"/>
        </w:rPr>
        <w:t xml:space="preserve">. Realizada a intervenção sanitária ambiental, o Município de Dois Irmãos está autorizado a buscar do proprietário, locatário ou </w:t>
      </w:r>
      <w:r>
        <w:rPr>
          <w:rFonts w:eastAsia="NSimSun" w:cs="Arial" w:ascii="Noto Serif Light" w:hAnsi="Noto Serif Light"/>
          <w:color w:val="auto"/>
          <w:kern w:val="2"/>
          <w:sz w:val="22"/>
          <w:szCs w:val="22"/>
          <w:lang w:val="pt-BR" w:eastAsia="zh-CN" w:bidi="hi-IN"/>
        </w:rPr>
        <w:t>ocupante</w:t>
      </w:r>
      <w:r>
        <w:rPr>
          <w:rFonts w:ascii="Noto Serif Light" w:hAnsi="Noto Serif Light"/>
          <w:sz w:val="22"/>
          <w:szCs w:val="22"/>
          <w:lang w:val="pt-BR"/>
        </w:rPr>
        <w:t xml:space="preserve"> do imóvel o ressarcimento por todos os custos arcados com esta, inclusive com materiais, apoio especializado, translado e o depósito de resíduos. 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5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Os proprietários, </w:t>
      </w:r>
      <w:bookmarkStart w:id="1" w:name="__DdeLink__1025_2940922177"/>
      <w:r>
        <w:rPr>
          <w:rFonts w:ascii="Noto Serif Light" w:hAnsi="Noto Serif Light"/>
          <w:sz w:val="22"/>
          <w:szCs w:val="22"/>
          <w:lang w:val="pt-BR"/>
        </w:rPr>
        <w:t>moradores, ocupantes ou locatários de imóveis</w:t>
      </w:r>
      <w:bookmarkEnd w:id="1"/>
      <w:r>
        <w:rPr>
          <w:rFonts w:ascii="Noto Serif Light" w:hAnsi="Noto Serif Light"/>
          <w:sz w:val="22"/>
          <w:szCs w:val="22"/>
          <w:lang w:val="pt-BR"/>
        </w:rPr>
        <w:t xml:space="preserve"> que possuírem bombonas de coleta de água da chuva ou cisternas até o advento da presente lei deverão cadastrar-se no Cadastro Municipal de Coleta de Águas Pluviais - CCPA no período de até 90 dias, a contar da data de publicação, da presente lei, não estando isentos de sanções por não conformidade de seus sistemas de coleta de água da chuva, referindo-se tal prazo apenas ao cadastramento de cisternas e bombonas já existentes.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6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Quando comprovada a impossibilidade de os proprietários, moradores, ocupantes ou locatários de imóveis arcarem com as despesas de instalação da tela prevista nesta Lei, poderá o Município custeá-la desde </w:t>
      </w:r>
      <w:r>
        <w:rPr>
          <w:rFonts w:ascii="Noto Serif Light" w:hAnsi="Noto Serif Light"/>
          <w:sz w:val="22"/>
          <w:szCs w:val="22"/>
          <w:lang w:val="pt-BR"/>
        </w:rPr>
        <w:t xml:space="preserve">que </w:t>
      </w:r>
      <w:r>
        <w:rPr>
          <w:rFonts w:ascii="Noto Serif Light" w:hAnsi="Noto Serif Light"/>
          <w:sz w:val="22"/>
          <w:szCs w:val="22"/>
          <w:lang w:val="pt-BR"/>
        </w:rPr>
        <w:t>comprovado, através de procedimento próprio, receita per cap</w:t>
      </w:r>
      <w:r>
        <w:rPr>
          <w:rFonts w:ascii="Noto Serif Light" w:hAnsi="Noto Serif Light"/>
          <w:sz w:val="22"/>
          <w:szCs w:val="22"/>
          <w:lang w:val="pt-BR"/>
        </w:rPr>
        <w:t>ita</w:t>
      </w:r>
      <w:r>
        <w:rPr>
          <w:rFonts w:ascii="Noto Serif Light" w:hAnsi="Noto Serif Light"/>
          <w:sz w:val="22"/>
          <w:szCs w:val="22"/>
          <w:lang w:val="pt-BR"/>
        </w:rPr>
        <w:t>, não superior a 01 (um) Salário Mínimo.</w:t>
      </w:r>
    </w:p>
    <w:p>
      <w:pPr>
        <w:pStyle w:val="Corpodotexto"/>
        <w:jc w:val="both"/>
        <w:rPr>
          <w:rFonts w:ascii="Noto Serif Light" w:hAnsi="Noto Serif Light"/>
          <w:sz w:val="6"/>
          <w:szCs w:val="6"/>
          <w:lang w:val="pt-BR"/>
        </w:rPr>
      </w:pPr>
      <w:r>
        <w:rPr>
          <w:rFonts w:ascii="Noto Serif Light" w:hAnsi="Noto Serif Light"/>
          <w:sz w:val="6"/>
          <w:szCs w:val="6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7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A presente Lei poderá ser regulamentada por Decreto.</w:t>
      </w:r>
    </w:p>
    <w:p>
      <w:pPr>
        <w:pStyle w:val="Corpodotexto"/>
        <w:jc w:val="both"/>
        <w:rPr>
          <w:lang w:val="pt-B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>Art. 2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8</w:t>
      </w:r>
      <w:r>
        <w:rPr>
          <w:rFonts w:ascii="Noto Serif Light" w:hAnsi="Noto Serif Light"/>
          <w:sz w:val="22"/>
          <w:szCs w:val="22"/>
          <w:lang w:val="pt-BR"/>
        </w:rPr>
        <w:t>.</w:t>
      </w:r>
      <w:r>
        <w:rPr>
          <w:rFonts w:ascii="Noto Serif Light" w:hAnsi="Noto Serif Light"/>
          <w:sz w:val="22"/>
          <w:szCs w:val="22"/>
          <w:lang w:val="pt-BR"/>
        </w:rPr>
        <w:t xml:space="preserve"> As despesas decorrentes desta lei correrão a conta da seguinte dotação orçamentária: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09.01.10.0305.0033.2076 Vigilância em Saúde – ASPS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3.33.90.32.00.00.00 Material, bem ou serviço para distribuição gratuita</w:t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  <w:t>Recurso 0040- ASPS</w:t>
      </w:r>
    </w:p>
    <w:p>
      <w:pPr>
        <w:pStyle w:val="Corpodotexto"/>
        <w:jc w:val="both"/>
        <w:rPr>
          <w:rFonts w:ascii="Noto Serif Light" w:hAnsi="Noto Serif Light"/>
          <w:sz w:val="12"/>
          <w:szCs w:val="12"/>
          <w:lang w:val="pt-BR"/>
        </w:rPr>
      </w:pPr>
      <w:r>
        <w:rPr>
          <w:rFonts w:ascii="Noto Serif Light" w:hAnsi="Noto Serif Light"/>
          <w:sz w:val="12"/>
          <w:szCs w:val="12"/>
          <w:lang w:val="pt-BR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lang w:val="pt-BR"/>
        </w:rPr>
        <w:tab/>
      </w:r>
      <w:r>
        <w:rPr>
          <w:rFonts w:ascii="Noto Serif Light" w:hAnsi="Noto Serif Light"/>
          <w:b/>
          <w:bCs/>
          <w:sz w:val="22"/>
          <w:szCs w:val="22"/>
          <w:lang w:val="pt-BR"/>
        </w:rPr>
        <w:t xml:space="preserve">Art. </w:t>
      </w:r>
      <w:r>
        <w:rPr>
          <w:rFonts w:ascii="Noto Serif Light" w:hAnsi="Noto Serif Light"/>
          <w:b/>
          <w:bCs/>
          <w:sz w:val="22"/>
          <w:szCs w:val="22"/>
          <w:lang w:val="pt-BR"/>
        </w:rPr>
        <w:t>29.</w:t>
      </w:r>
      <w:r>
        <w:rPr>
          <w:rFonts w:ascii="Noto Serif Light" w:hAnsi="Noto Serif Light"/>
          <w:sz w:val="22"/>
          <w:szCs w:val="22"/>
          <w:lang w:val="pt-BR"/>
        </w:rPr>
        <w:t xml:space="preserve"> Essa Lei entra em vigor na data de sua publicação.</w:t>
      </w:r>
    </w:p>
    <w:p>
      <w:pPr>
        <w:pStyle w:val="Corpodotexto"/>
        <w:jc w:val="both"/>
        <w:rPr>
          <w:rFonts w:ascii="Noto Serif Light" w:hAnsi="Noto Serif Light" w:eastAsia="Arial" w:cs="Arial"/>
          <w:b w:val="false"/>
          <w:b w:val="false"/>
          <w:bCs w:val="false"/>
          <w:i w:val="false"/>
          <w:caps w:val="false"/>
          <w:smallCaps w:val="false"/>
          <w:color w:val="000000"/>
          <w:spacing w:val="0"/>
          <w:lang w:val="pt-B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"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ab/>
        <w:t xml:space="preserve">GABINETE DO PREFEITO MUNICIPAL DE DOIS IRMÃOS/RS, </w:t>
      </w:r>
      <w:r>
        <w:rPr>
          <w:rFonts w:eastAsia="Arial"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7</w:t>
      </w:r>
      <w:r>
        <w:rPr>
          <w:rFonts w:eastAsia="Arial"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DE </w:t>
      </w:r>
      <w:r>
        <w:rPr>
          <w:rFonts w:eastAsia="Arial"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ABRIL</w:t>
      </w:r>
      <w:r>
        <w:rPr>
          <w:rFonts w:eastAsia="Arial"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DE 202</w:t>
      </w:r>
      <w:r>
        <w:rPr>
          <w:rFonts w:eastAsia="Arial"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2</w:t>
      </w:r>
      <w:r>
        <w:rPr>
          <w:rFonts w:eastAsia="Arial" w:cs="Arial"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eastAsia="Arial" w:cs="Arial"/>
          <w:b w:val="false"/>
          <w:b w:val="false"/>
          <w:bCs w:val="false"/>
          <w:sz w:val="21"/>
          <w:szCs w:val="21"/>
        </w:rPr>
      </w:pPr>
      <w:r>
        <w:rPr>
          <w:rFonts w:eastAsia="Arial" w:cs="Arial" w:ascii="Noto Serif Light" w:hAnsi="Noto Serif Light"/>
          <w:b w:val="false"/>
          <w:bCs w:val="false"/>
          <w:sz w:val="21"/>
          <w:szCs w:val="21"/>
        </w:rPr>
      </w:r>
    </w:p>
    <w:tbl>
      <w:tblPr>
        <w:tblW w:w="9131" w:type="dxa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974"/>
        <w:gridCol w:w="5157"/>
      </w:tblGrid>
      <w:tr>
        <w:trPr/>
        <w:tc>
          <w:tcPr>
            <w:tcW w:w="3974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jc w:val="both"/>
              <w:rPr>
                <w:rFonts w:ascii="Noto Serif Light" w:hAnsi="Noto Serif Light" w:eastAsia="Arial" w:cs="Arial"/>
                <w:sz w:val="21"/>
                <w:szCs w:val="21"/>
              </w:rPr>
            </w:pPr>
            <w:r>
              <w:rPr>
                <w:rFonts w:eastAsia="Arial" w:cs="Arial" w:ascii="Noto Serif Light" w:hAnsi="Noto Serif Light"/>
                <w:sz w:val="21"/>
                <w:szCs w:val="21"/>
              </w:rPr>
            </w:r>
          </w:p>
        </w:tc>
        <w:tc>
          <w:tcPr>
            <w:tcW w:w="5157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hanging="0"/>
              <w:jc w:val="right"/>
              <w:rPr>
                <w:rFonts w:ascii="Noto Serif Light" w:hAnsi="Noto Serif Light" w:eastAsia="Arial" w:cs="Arial"/>
                <w:b/>
                <w:b/>
                <w:bCs/>
                <w:sz w:val="21"/>
                <w:szCs w:val="21"/>
              </w:rPr>
            </w:pPr>
            <w:r>
              <w:rPr>
                <w:rFonts w:eastAsia="Arial" w:cs="Arial" w:ascii="Noto Serif Light" w:hAnsi="Noto Serif Light"/>
                <w:b/>
                <w:bCs/>
                <w:sz w:val="21"/>
                <w:szCs w:val="21"/>
              </w:rPr>
              <w:t xml:space="preserve">JERRI ADRIANI MENEGHETTI, 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firstLine="1701"/>
              <w:jc w:val="right"/>
              <w:rPr>
                <w:rFonts w:ascii="Noto Serif Light" w:hAnsi="Noto Serif Light" w:eastAsia="Arial" w:cs="Arial"/>
                <w:b/>
                <w:b/>
                <w:bCs/>
                <w:sz w:val="21"/>
                <w:szCs w:val="21"/>
              </w:rPr>
            </w:pPr>
            <w:r>
              <w:rPr>
                <w:rFonts w:eastAsia="Arial" w:cs="Arial" w:ascii="Noto Serif Light" w:hAnsi="Noto Serif Light"/>
                <w:b/>
                <w:bCs/>
                <w:sz w:val="21"/>
                <w:szCs w:val="21"/>
              </w:rPr>
              <w:t>PREFEITO MUNICIPAL.</w:t>
            </w:r>
          </w:p>
        </w:tc>
      </w:tr>
    </w:tbl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jc w:val="right"/>
        <w:rPr>
          <w:lang w:val="pt-BR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Normal"/>
        <w:spacing w:lineRule="auto" w:line="360"/>
        <w:jc w:val="center"/>
        <w:rPr>
          <w:rFonts w:ascii="Noto Serif Light" w:hAnsi="Noto Serif Light"/>
          <w:b/>
          <w:b/>
          <w:bCs/>
          <w:sz w:val="21"/>
          <w:szCs w:val="21"/>
        </w:rPr>
      </w:pPr>
      <w:r>
        <w:rPr>
          <w:rFonts w:ascii="Noto Serif Light" w:hAnsi="Noto Serif Light"/>
          <w:b/>
          <w:bCs/>
          <w:sz w:val="21"/>
          <w:szCs w:val="21"/>
        </w:rPr>
        <w:t>EXPOSIÇÃO DE MOTIVOS</w:t>
      </w:r>
      <w:r>
        <w:rPr>
          <w:rFonts w:ascii="Noto Serif Light" w:hAnsi="Noto Serif Light"/>
          <w:b/>
          <w:bCs/>
          <w:sz w:val="21"/>
          <w:szCs w:val="21"/>
        </w:rPr>
        <w:t xml:space="preserve"> </w:t>
      </w:r>
    </w:p>
    <w:p>
      <w:pPr>
        <w:pStyle w:val="Normal"/>
        <w:spacing w:lineRule="auto" w:line="360"/>
        <w:jc w:val="center"/>
        <w:rPr>
          <w:rFonts w:ascii="Noto Serif Light" w:hAnsi="Noto Serif Light"/>
          <w:b/>
          <w:b/>
          <w:bCs/>
          <w:sz w:val="21"/>
          <w:szCs w:val="21"/>
        </w:rPr>
      </w:pPr>
      <w:r>
        <w:rPr>
          <w:rFonts w:ascii="Noto Serif Light" w:hAnsi="Noto Serif Light"/>
          <w:b/>
          <w:bCs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" w:cs="Arial" w:ascii="Noto Serif Light" w:hAnsi="Noto Serif Light"/>
          <w:bCs/>
          <w:sz w:val="21"/>
          <w:szCs w:val="21"/>
        </w:rPr>
        <w:tab/>
        <w:t>Encaminhamos o presente Projeto de Lei nº 0</w:t>
      </w:r>
      <w:r>
        <w:rPr>
          <w:rFonts w:eastAsia="Arial" w:cs="Arial" w:ascii="Noto Serif Light" w:hAnsi="Noto Serif Light"/>
          <w:bCs/>
          <w:sz w:val="21"/>
          <w:szCs w:val="21"/>
        </w:rPr>
        <w:t>4</w:t>
      </w:r>
      <w:r>
        <w:rPr>
          <w:rFonts w:eastAsia="Arial" w:cs="Arial" w:ascii="Noto Serif Light" w:hAnsi="Noto Serif Light"/>
          <w:bCs/>
          <w:sz w:val="21"/>
          <w:szCs w:val="21"/>
        </w:rPr>
        <w:t>9</w:t>
      </w:r>
      <w:r>
        <w:rPr>
          <w:rFonts w:eastAsia="Arial" w:cs="Arial" w:ascii="Noto Serif Light" w:hAnsi="Noto Serif Light"/>
          <w:bCs/>
          <w:sz w:val="21"/>
          <w:szCs w:val="21"/>
        </w:rPr>
        <w:t>/202</w:t>
      </w:r>
      <w:r>
        <w:rPr>
          <w:rFonts w:eastAsia="Arial" w:cs="Arial" w:ascii="Noto Serif Light" w:hAnsi="Noto Serif Light"/>
          <w:bCs/>
          <w:sz w:val="21"/>
          <w:szCs w:val="21"/>
        </w:rPr>
        <w:t>2</w:t>
      </w:r>
      <w:r>
        <w:rPr>
          <w:rFonts w:eastAsia="Arial" w:cs="Arial" w:ascii="Noto Serif Light" w:hAnsi="Noto Serif Light"/>
          <w:bCs/>
          <w:sz w:val="21"/>
          <w:szCs w:val="21"/>
        </w:rPr>
        <w:t xml:space="preserve"> que</w:t>
      </w:r>
      <w:r>
        <w:rPr>
          <w:rFonts w:eastAsia="Arial" w:cs="Arial" w:ascii="Noto Serif Light" w:hAnsi="Noto Serif Light"/>
          <w:b/>
          <w:bCs/>
          <w:sz w:val="21"/>
          <w:szCs w:val="21"/>
        </w:rPr>
        <w:t xml:space="preserve"> </w:t>
      </w:r>
      <w:r>
        <w:rPr>
          <w:rStyle w:val="Nfase"/>
          <w:rFonts w:eastAsia="Arial" w:cs="Arial" w:ascii="Noto Serif Light" w:hAnsi="Noto Serif Light"/>
          <w:b/>
          <w:bCs/>
          <w:i w:val="false"/>
          <w:iCs w:val="false"/>
          <w:sz w:val="21"/>
          <w:szCs w:val="21"/>
        </w:rPr>
        <w:t>“</w:t>
      </w:r>
      <w:r>
        <w:rPr>
          <w:rStyle w:val="Nfase"/>
          <w:rFonts w:eastAsia="Arial" w:cs="Arial" w:ascii="Noto Serif Light" w:hAnsi="Noto Serif Light"/>
          <w:b/>
          <w:bCs/>
          <w:i w:val="false"/>
          <w:iCs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CRIA O PROGRAMA MUNICIPAL DE COMBATE AO </w:t>
      </w:r>
      <w:r>
        <w:rPr>
          <w:rStyle w:val="Nfase"/>
          <w:rFonts w:eastAsia="Arial" w:cs="Arial" w:ascii="Noto Serif Light" w:hAnsi="Noto Serif Light"/>
          <w:b/>
          <w:bCs/>
          <w:i/>
          <w:iCs/>
          <w:caps w:val="false"/>
          <w:smallCaps w:val="false"/>
          <w:color w:val="000000"/>
          <w:spacing w:val="0"/>
          <w:sz w:val="21"/>
          <w:szCs w:val="21"/>
          <w:lang w:val="pt-BR"/>
        </w:rPr>
        <w:t>AEDES AEGYPTI</w:t>
      </w:r>
      <w:r>
        <w:rPr>
          <w:rStyle w:val="Nfase"/>
          <w:rFonts w:eastAsia="Arial" w:cs="Arial" w:ascii="Noto Serif Light" w:hAnsi="Noto Serif Light"/>
          <w:b/>
          <w:bCs/>
          <w:i w:val="false"/>
          <w:iCs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E DÁ OUTRAS PROVIDÊNCIAS.</w:t>
      </w:r>
      <w:r>
        <w:rPr>
          <w:rStyle w:val="Nfase"/>
          <w:rFonts w:eastAsia="Arial" w:cs="Arial" w:ascii="Noto Serif Light" w:hAnsi="Noto Serif Light"/>
          <w:b/>
          <w:bCs/>
          <w:i w:val="false"/>
          <w:iCs w:val="false"/>
          <w:sz w:val="21"/>
          <w:szCs w:val="21"/>
        </w:rPr>
        <w:t>”</w:t>
      </w:r>
      <w:r>
        <w:rPr>
          <w:rFonts w:eastAsia="Arial" w:cs="Arial" w:ascii="Noto Serif Light" w:hAnsi="Noto Serif Light"/>
          <w:b/>
          <w:bCs/>
          <w:sz w:val="21"/>
          <w:szCs w:val="21"/>
        </w:rPr>
        <w:t xml:space="preserve"> </w:t>
      </w:r>
      <w:r>
        <w:rPr>
          <w:rFonts w:eastAsia="Arial" w:cs="Arial" w:ascii="Noto Serif Light" w:hAnsi="Noto Serif Light"/>
          <w:bCs/>
          <w:sz w:val="21"/>
          <w:szCs w:val="21"/>
        </w:rPr>
        <w:t xml:space="preserve">para apreciação e deliberação dos senhores </w:t>
      </w:r>
      <w:r>
        <w:rPr>
          <w:rFonts w:eastAsia="Arial" w:cs="Arial" w:ascii="Noto Serif Light" w:hAnsi="Noto Serif Light"/>
          <w:bCs/>
          <w:i/>
          <w:iCs/>
          <w:sz w:val="21"/>
          <w:szCs w:val="21"/>
        </w:rPr>
        <w:t>Edis.</w:t>
      </w:r>
    </w:p>
    <w:p>
      <w:pPr>
        <w:pStyle w:val="Normal"/>
        <w:spacing w:lineRule="auto" w:line="360"/>
        <w:jc w:val="both"/>
        <w:rPr>
          <w:rFonts w:eastAsia="Arial" w:cs="Arial"/>
          <w:bCs/>
          <w:i/>
          <w:i/>
          <w:iCs/>
        </w:rPr>
      </w:pPr>
      <w:r>
        <w:rPr>
          <w:rFonts w:ascii="Noto Serif Light" w:hAnsi="Noto Serif Light"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Noto Serif Light" w:hAnsi="Noto Serif Light"/>
          <w:bCs/>
          <w:sz w:val="21"/>
          <w:szCs w:val="21"/>
        </w:rPr>
      </w:pPr>
      <w:r>
        <w:rPr>
          <w:rFonts w:eastAsia="Arial" w:cs="Arial" w:ascii="Noto Serif Light" w:hAnsi="Noto Serif Light"/>
          <w:b/>
          <w:bCs/>
          <w:sz w:val="21"/>
          <w:szCs w:val="21"/>
        </w:rPr>
        <w:tab/>
      </w:r>
      <w:r>
        <w:rPr>
          <w:rFonts w:eastAsia="Arial" w:cs="Arial" w:ascii="Noto Serif Light" w:hAnsi="Noto Serif Light"/>
          <w:b w:val="false"/>
          <w:bCs w:val="false"/>
          <w:sz w:val="21"/>
          <w:szCs w:val="21"/>
        </w:rPr>
        <w:t>A presente proposição se justifica em vista de que foi apresentada pela Secretaria Municipal da Saúde e Vigilância em Saúde, para fins de criação do programa municipal de combate da dengue, em face do recente surto que se instalou no Município.</w:t>
      </w:r>
    </w:p>
    <w:p>
      <w:pPr>
        <w:pStyle w:val="Normal"/>
        <w:spacing w:lineRule="auto" w:line="360"/>
        <w:jc w:val="both"/>
        <w:rPr>
          <w:rFonts w:eastAsia="Arial" w:cs="Arial"/>
          <w:b w:val="false"/>
          <w:b w:val="false"/>
          <w:bCs w:val="false"/>
        </w:rPr>
      </w:pPr>
      <w:r>
        <w:rPr>
          <w:rFonts w:ascii="Noto Serif Light" w:hAnsi="Noto Serif Light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ab/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O Município de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Dois Irmãos,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como é sabido, está a enfrentar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uma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recente e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grave epidemia de dengue.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A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té 05/04/2022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contávamos com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1.270 casos confirmados, o que significa que 3,7% dos munícipes foram acometidos pela doença. A situação tende a se agravar no caso de uma nova epidemia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em havendo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circulação de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outro tipo de vírus da dengue (atualmente o vírus circulante é o DEN 1, existem também o DEN 2, DEN 3 e DEN 4) pois, uma nova infecção, que só é possível por outro tipo do vírus,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trará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chances muito maiores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de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resulta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r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em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dengue hemorrágica que,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a relembrar,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é potencialmente fatal. A atual epidemia já está representando transtornos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à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população devido ao aumento do tempo de espera no Pronto Atendimento e a diminuição dos atendimentos eletivos nas UBS’s,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visto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que as medidas de orientação e educativas não têm surtido o efeito esperado, faz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endo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-se necessário estabelecer procedimentos municipais próprios para a responsabilização dos indivíduos que mantêm criadouros e focos de mosquitos vetores. Urge, 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assim,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 disciplinar a coleta de água da chuva em cisternas e bombonas, visto que estes t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ê</w:t>
      </w: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m se mostrado os principais reservatórios com focos de </w:t>
      </w: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1"/>
          <w:szCs w:val="21"/>
          <w:lang w:val="pt-BR"/>
        </w:rPr>
        <w:t xml:space="preserve">Aedes aegypti </w:t>
      </w:r>
      <w:r>
        <w:rPr>
          <w:rFonts w:ascii="Noto Serif Light" w:hAnsi="Noto Serif Light"/>
          <w:b w:val="false"/>
          <w:i w:val="false"/>
          <w:iCs w:val="false"/>
          <w:caps w:val="false"/>
          <w:smallCaps w:val="false"/>
          <w:color w:val="000000"/>
          <w:spacing w:val="0"/>
          <w:sz w:val="21"/>
          <w:szCs w:val="21"/>
          <w:lang w:val="pt-BR"/>
        </w:rPr>
        <w:t>no município.</w:t>
      </w:r>
    </w:p>
    <w:p>
      <w:pPr>
        <w:pStyle w:val="Normal"/>
        <w:spacing w:lineRule="auto" w:line="360"/>
        <w:jc w:val="both"/>
        <w:rPr>
          <w:b w:val="false"/>
          <w:i w:val="false"/>
          <w:i w:val="false"/>
          <w:iCs w:val="false"/>
          <w:caps w:val="false"/>
          <w:smallCaps w:val="false"/>
          <w:color w:val="000000"/>
          <w:spacing w:val="0"/>
          <w:lang w:val="pt-B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 w:val="false"/>
          <w:bCs w:val="false"/>
          <w:sz w:val="22"/>
          <w:szCs w:val="22"/>
        </w:rPr>
        <w:t>Assim, esperamos que os senhores Edis igualmente comunguem desse entendimento, para que o Poder Público munir-se de meios mais eficazes no combate a esta epidemia.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/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Noto Serif Light" w:hAnsi="Noto Serif Light" w:eastAsia="Arial" w:cs="Noto Serif Light"/>
          <w:b/>
          <w:b/>
          <w:bCs/>
          <w:sz w:val="22"/>
          <w:szCs w:val="22"/>
        </w:rPr>
      </w:pPr>
      <w:r>
        <w:rPr>
          <w:rFonts w:eastAsia="Arial" w:cs="Noto Serif Light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Corpodotexto"/>
        <w:spacing w:lineRule="auto" w:line="360" w:before="0" w:after="140"/>
        <w:ind w:left="360" w:right="0" w:hanging="0"/>
        <w:jc w:val="right"/>
        <w:rPr>
          <w:rFonts w:ascii="Noto Serif Light" w:hAnsi="Noto Serif Light" w:eastAsia="Arial" w:cs="Calibri"/>
          <w:b/>
          <w:b/>
          <w:bCs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i w:val="false"/>
          <w:iCs w:val="false"/>
          <w:caps w:val="false"/>
          <w:smallCaps w:val="false"/>
          <w:color w:val="000000"/>
          <w:spacing w:val="0"/>
          <w:sz w:val="22"/>
          <w:szCs w:val="22"/>
          <w:lang w:val="pt-BR"/>
        </w:rPr>
        <w:t>PREFEITO MUNICIPAL.</w:t>
      </w:r>
    </w:p>
    <w:sectPr>
      <w:type w:val="nextPage"/>
      <w:pgSz w:w="12240" w:h="15840"/>
      <w:pgMar w:left="1701" w:right="1134" w:header="0" w:top="2268" w:footer="0" w:bottom="1134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Noto Serif Light">
    <w:charset w:val="01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Ttulo1">
    <w:name w:val="Heading 1"/>
    <w:basedOn w:val="Ttulo"/>
    <w:next w:val="Corpodotexto"/>
    <w:qFormat/>
    <w:pPr>
      <w:spacing w:before="240" w:after="120"/>
      <w:outlineLvl w:val="0"/>
    </w:pPr>
    <w:rPr>
      <w:rFonts w:ascii="Liberation Serif" w:hAnsi="Liberation Serif" w:eastAsia="NSimSun" w:cs="Arial"/>
      <w:b/>
      <w:bCs/>
      <w:sz w:val="48"/>
      <w:szCs w:val="48"/>
    </w:rPr>
  </w:style>
  <w:style w:type="paragraph" w:styleId="Ttulo2">
    <w:name w:val="Heading 2"/>
    <w:basedOn w:val="Ttulo"/>
    <w:next w:val="Corpodotexto"/>
    <w:qFormat/>
    <w:pPr>
      <w:spacing w:before="200" w:after="120"/>
      <w:outlineLvl w:val="1"/>
    </w:pPr>
    <w:rPr>
      <w:rFonts w:ascii="Liberation Serif" w:hAnsi="Liberation Serif" w:eastAsia="NSimSun" w:cs="Arial"/>
      <w:b/>
      <w:bCs/>
      <w:sz w:val="36"/>
      <w:szCs w:val="36"/>
    </w:rPr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character" w:styleId="Nfaseforte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Ttulo"/>
    <w:next w:val="Corpodotexto"/>
    <w:qFormat/>
    <w:pPr>
      <w:jc w:val="center"/>
    </w:pPr>
    <w:rPr>
      <w:b/>
      <w:bCs/>
      <w:sz w:val="56"/>
      <w:szCs w:val="5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Textoprformatado">
    <w:name w:val="Texto préformatado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1785</TotalTime>
  <Application>LibreOffice/7.0.4.2$Windows_X86_64 LibreOffice_project/dcf040e67528d9187c66b2379df5ea4407429775</Application>
  <AppVersion>15.0000</AppVersion>
  <Pages>12</Pages>
  <Words>3240</Words>
  <Characters>17175</Characters>
  <CharactersWithSpaces>20423</CharactersWithSpaces>
  <Paragraphs>124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2021-11-10T10:52:55Z</dcterms:created>
  <dc:creator/>
  <dc:description/>
  <dc:language>pt-BR</dc:language>
  <cp:lastModifiedBy/>
  <cp:lastPrinted>2022-04-07T11:18:14Z</cp:lastPrinted>
  <dcterms:modified xsi:type="dcterms:W3CDTF">2022-04-07T11:36:22Z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