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18EA" w:rsidRPr="00CE2156" w:rsidRDefault="00AD18EA" w:rsidP="00CE2156">
      <w:pPr>
        <w:jc w:val="center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b/>
          <w:szCs w:val="22"/>
        </w:rPr>
        <w:t>PROPOSTA DE EMENDA À LEI ORGÂNICA MUNICIPAL Nº 02/2022</w:t>
      </w:r>
    </w:p>
    <w:p w:rsidR="00AD18EA" w:rsidRPr="00CE2156" w:rsidRDefault="00AD18EA" w:rsidP="00CE2156">
      <w:pPr>
        <w:jc w:val="both"/>
        <w:rPr>
          <w:rFonts w:ascii="Bookman Old Style" w:hAnsi="Bookman Old Style" w:cs="Noto Serif Light"/>
          <w:b/>
          <w:szCs w:val="22"/>
        </w:rPr>
      </w:pPr>
    </w:p>
    <w:p w:rsidR="00AD18EA" w:rsidRPr="00CE2156" w:rsidRDefault="00AD18EA" w:rsidP="002D40B0">
      <w:pPr>
        <w:ind w:left="3402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b/>
          <w:szCs w:val="22"/>
        </w:rPr>
        <w:t>“REVOGA O ARTIGO 97 DA LEI ORGÂNICA DO MUNICÍPIO E ACRESCENTA AO TITULO II, O CAPÍTULO V, DO REGIME PRÓPRIO DOS SERVIDORES EFETIVOS, COMPOSTO DO ART. 100-A, DA SEÇÃO I COMPOSTA DO ARTIGO 100-B, DA SEÇÃO II COMPOSTA DO ART.100-C, DA SEÇÃO III COMPOSTA DO ART. 100-D E DA SEÇÃO IV COMPOSTA DO ART. 100-E, À LEI ORGÂNICA DO MUNICÍPIO DE DOIS IRMÃOS.”</w:t>
      </w:r>
    </w:p>
    <w:p w:rsidR="00AD18EA" w:rsidRPr="00CE2156" w:rsidRDefault="00AD18EA" w:rsidP="00CE2156">
      <w:pPr>
        <w:jc w:val="both"/>
        <w:rPr>
          <w:rFonts w:ascii="Bookman Old Style" w:hAnsi="Bookman Old Style"/>
          <w:szCs w:val="22"/>
        </w:rPr>
      </w:pPr>
    </w:p>
    <w:p w:rsidR="00AD18EA" w:rsidRPr="00CE2156" w:rsidRDefault="00AD18EA" w:rsidP="00CE2156">
      <w:pPr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b/>
          <w:szCs w:val="22"/>
        </w:rPr>
        <w:tab/>
        <w:t xml:space="preserve">Art. 1º </w:t>
      </w:r>
      <w:r w:rsidR="002D40B0" w:rsidRPr="002D40B0">
        <w:rPr>
          <w:rFonts w:ascii="Bookman Old Style" w:hAnsi="Bookman Old Style" w:cs="Noto Serif Light"/>
          <w:szCs w:val="22"/>
        </w:rPr>
        <w:t>Fica r</w:t>
      </w:r>
      <w:r w:rsidRPr="002D40B0">
        <w:rPr>
          <w:rFonts w:ascii="Bookman Old Style" w:hAnsi="Bookman Old Style" w:cs="Noto Serif Light"/>
          <w:szCs w:val="22"/>
        </w:rPr>
        <w:t>evoga</w:t>
      </w:r>
      <w:r w:rsidR="002D40B0" w:rsidRPr="002D40B0">
        <w:rPr>
          <w:rFonts w:ascii="Bookman Old Style" w:hAnsi="Bookman Old Style" w:cs="Noto Serif Light"/>
          <w:szCs w:val="22"/>
        </w:rPr>
        <w:t>do</w:t>
      </w:r>
      <w:r w:rsidRPr="002D40B0">
        <w:rPr>
          <w:rFonts w:ascii="Bookman Old Style" w:hAnsi="Bookman Old Style" w:cs="Noto Serif Light"/>
          <w:szCs w:val="22"/>
        </w:rPr>
        <w:t xml:space="preserve"> </w:t>
      </w:r>
      <w:r w:rsidRPr="00CE2156">
        <w:rPr>
          <w:rFonts w:ascii="Bookman Old Style" w:hAnsi="Bookman Old Style" w:cs="Noto Serif Light"/>
          <w:szCs w:val="22"/>
        </w:rPr>
        <w:t>o Artigo 97 da Lei Orgânica Municipal de Dois Irmãos.</w:t>
      </w:r>
    </w:p>
    <w:p w:rsidR="00AD18EA" w:rsidRPr="00CE2156" w:rsidRDefault="00AD18EA" w:rsidP="00CE2156">
      <w:pPr>
        <w:jc w:val="both"/>
        <w:rPr>
          <w:rFonts w:ascii="Bookman Old Style" w:hAnsi="Bookman Old Style" w:cs="Noto Serif Light"/>
          <w:szCs w:val="22"/>
        </w:rPr>
      </w:pPr>
    </w:p>
    <w:p w:rsidR="00AD18EA" w:rsidRPr="00CE2156" w:rsidRDefault="00AD18EA" w:rsidP="00CE2156">
      <w:pPr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b/>
          <w:szCs w:val="22"/>
        </w:rPr>
        <w:tab/>
        <w:t>Art. 2º</w:t>
      </w:r>
      <w:r w:rsidRPr="00CE2156">
        <w:rPr>
          <w:rFonts w:ascii="Bookman Old Style" w:hAnsi="Bookman Old Style" w:cs="Noto Serif Light"/>
          <w:szCs w:val="22"/>
        </w:rPr>
        <w:t xml:space="preserve"> O Título II da Lei Orgânica Municipal, passa a viger com o acréscimo do Capítulo V, DO REGIME PRÓPRIO DOS SERVIDORES EFETIVOS, composto do Art.100-A, DA SEÇÃO I – DA APOSENTADORIA COMPULSÓRIA, composta do Art.100B, SEÇÃO II – DA APOSENTADORIA POR IDADE E TEMPO DE CONTRIBUIÇÃO, composta do Art. 100-C e SEÇÃO III - DA APOSENTADORIA POR IDADE, composta do artigo 100-D, e SECÇÃO IV - DAS REGRAS TRANSITÓRIAS, composta do Art. 100-E, de seguinte teor:</w:t>
      </w:r>
    </w:p>
    <w:p w:rsidR="00AD18EA" w:rsidRPr="00CE2156" w:rsidRDefault="00AD18EA" w:rsidP="00CE2156">
      <w:pPr>
        <w:jc w:val="both"/>
        <w:rPr>
          <w:rFonts w:ascii="Bookman Old Style" w:eastAsia="Arial" w:hAnsi="Bookman Old Style" w:cs="Noto Serif Light"/>
          <w:szCs w:val="22"/>
        </w:rPr>
      </w:pP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b/>
          <w:bCs/>
          <w:szCs w:val="22"/>
        </w:rPr>
        <w:t>“CAPÍTULO V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b/>
          <w:bCs/>
          <w:szCs w:val="22"/>
        </w:rPr>
        <w:t>DO REGIME PRÓPRIO DOS SERVIDORES EFETIVOS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szCs w:val="22"/>
        </w:rPr>
        <w:t>Art. 100-A Lei Complementar estabelecerá o regime próprio dos servidores efetivos do Município, em conformidade com o disposto na Constituição Federal e legislação correlata aplicável.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 w:cs="Noto Serif Light"/>
          <w:b/>
          <w:bCs/>
          <w:szCs w:val="22"/>
        </w:rPr>
      </w:pPr>
    </w:p>
    <w:p w:rsidR="00AD18EA" w:rsidRPr="00CE2156" w:rsidRDefault="002D40B0" w:rsidP="00CE2156">
      <w:pPr>
        <w:ind w:left="850"/>
        <w:jc w:val="both"/>
        <w:rPr>
          <w:rFonts w:ascii="Bookman Old Style" w:hAnsi="Bookman Old Style"/>
          <w:szCs w:val="22"/>
        </w:rPr>
      </w:pPr>
      <w:r>
        <w:rPr>
          <w:rFonts w:ascii="Bookman Old Style" w:hAnsi="Bookman Old Style" w:cs="Noto Serif Light"/>
          <w:b/>
          <w:bCs/>
          <w:szCs w:val="22"/>
        </w:rPr>
        <w:t>SEÇÃ</w:t>
      </w:r>
      <w:r w:rsidR="00AD18EA" w:rsidRPr="00CE2156">
        <w:rPr>
          <w:rFonts w:ascii="Bookman Old Style" w:hAnsi="Bookman Old Style" w:cs="Noto Serif Light"/>
          <w:b/>
          <w:bCs/>
          <w:szCs w:val="22"/>
        </w:rPr>
        <w:t xml:space="preserve">O I 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b/>
          <w:bCs/>
          <w:szCs w:val="22"/>
        </w:rPr>
        <w:t>DA APOSENTADORIA COMPULSÓRIA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szCs w:val="22"/>
        </w:rPr>
        <w:t xml:space="preserve">Art. 100-B A aposentadoria compulsória será automática para o servidor 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>aos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1"/>
          <w:szCs w:val="22"/>
        </w:rPr>
        <w:t xml:space="preserve"> 75 (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3"/>
          <w:szCs w:val="22"/>
        </w:rPr>
        <w:t>setenta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 xml:space="preserve"> e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cinco)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 xml:space="preserve"> anos de idade,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com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3"/>
          <w:szCs w:val="22"/>
        </w:rPr>
        <w:t>proventos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1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proporcionais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 xml:space="preserve"> ao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tempo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81"/>
          <w:w w:val="98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>de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0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contribuição,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9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observado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0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quanto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9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>ao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0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cálculo e procedimento,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9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zCs w:val="22"/>
        </w:rPr>
        <w:t>o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0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1"/>
          <w:szCs w:val="22"/>
        </w:rPr>
        <w:t>disposto</w:t>
      </w:r>
      <w:r w:rsidRPr="00CE2156">
        <w:rPr>
          <w:rStyle w:val="Absatz-Standardschriftart"/>
          <w:rFonts w:ascii="Bookman Old Style" w:hAnsi="Bookman Old Style" w:cs="Noto Serif Light"/>
          <w:color w:val="auto"/>
          <w:spacing w:val="-9"/>
          <w:szCs w:val="22"/>
        </w:rPr>
        <w:t xml:space="preserve"> em Lei Complementar.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 w:cs="Noto Serif Light"/>
          <w:b/>
          <w:bCs/>
          <w:szCs w:val="22"/>
        </w:rPr>
      </w:pP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b/>
          <w:bCs/>
          <w:szCs w:val="22"/>
        </w:rPr>
        <w:t xml:space="preserve">DA SEÇÃO II 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b/>
          <w:bCs/>
          <w:szCs w:val="22"/>
        </w:rPr>
        <w:t>DA APOSENTADORIA POR IDADE E TEMPO DE CONTRIBUIÇÃO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szCs w:val="22"/>
        </w:rPr>
        <w:t xml:space="preserve">Art. 100-C </w:t>
      </w:r>
      <w:r w:rsidRPr="00CE2156">
        <w:rPr>
          <w:rFonts w:ascii="Bookman Old Style" w:hAnsi="Bookman Old Style" w:cs="Noto Serif Light"/>
          <w:color w:val="000000"/>
          <w:szCs w:val="22"/>
        </w:rPr>
        <w:t>O servidor efetivo segurado fará jus à aposentadoria voluntária por idade e tempo de co</w:t>
      </w:r>
      <w:r w:rsidRPr="00CE2156">
        <w:rPr>
          <w:rStyle w:val="Absatz-Standardschriftart"/>
          <w:rFonts w:ascii="Bookman Old Style" w:hAnsi="Bookman Old Style" w:cs="Noto Serif Light"/>
          <w:spacing w:val="-1"/>
          <w:szCs w:val="22"/>
        </w:rPr>
        <w:t>ntribuição,</w:t>
      </w:r>
      <w:r w:rsidRPr="00CE2156">
        <w:rPr>
          <w:rStyle w:val="Absatz-Standardschriftart"/>
          <w:rFonts w:ascii="Bookman Old Style" w:hAnsi="Bookman Old Style" w:cs="Noto Serif Light"/>
          <w:spacing w:val="-3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spacing w:val="-1"/>
          <w:szCs w:val="22"/>
        </w:rPr>
        <w:t>com</w:t>
      </w:r>
      <w:r w:rsidRPr="00CE2156">
        <w:rPr>
          <w:rStyle w:val="Absatz-Standardschriftart"/>
          <w:rFonts w:ascii="Bookman Old Style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spacing w:val="-3"/>
          <w:szCs w:val="22"/>
        </w:rPr>
        <w:t xml:space="preserve">proventos </w:t>
      </w:r>
      <w:r w:rsidRPr="00CE2156">
        <w:rPr>
          <w:rStyle w:val="Absatz-Standardschriftart"/>
          <w:rFonts w:ascii="Bookman Old Style" w:hAnsi="Bookman Old Style" w:cs="Noto Serif Light"/>
          <w:spacing w:val="-1"/>
          <w:szCs w:val="22"/>
        </w:rPr>
        <w:t>integrais,</w:t>
      </w:r>
      <w:r w:rsidRPr="00CE2156">
        <w:rPr>
          <w:rStyle w:val="Absatz-Standardschriftart"/>
          <w:rFonts w:ascii="Bookman Old Style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spacing w:val="-1"/>
          <w:szCs w:val="22"/>
        </w:rPr>
        <w:t>calculados</w:t>
      </w:r>
      <w:r w:rsidRPr="00CE2156">
        <w:rPr>
          <w:rStyle w:val="Absatz-Standardschriftart"/>
          <w:rFonts w:ascii="Bookman Old Style" w:hAnsi="Bookman Old Style" w:cs="Noto Serif Light"/>
          <w:spacing w:val="-3"/>
          <w:szCs w:val="22"/>
        </w:rPr>
        <w:t xml:space="preserve"> desde que preencha os requisitos e </w:t>
      </w:r>
      <w:r w:rsidRPr="00CE2156">
        <w:rPr>
          <w:rFonts w:ascii="Bookman Old Style" w:hAnsi="Bookman Old Style" w:cs="Noto Serif Light"/>
          <w:szCs w:val="22"/>
        </w:rPr>
        <w:t>a</w:t>
      </w:r>
      <w:r w:rsidRPr="00CE2156">
        <w:rPr>
          <w:rStyle w:val="Absatz-Standardschriftart"/>
          <w:rFonts w:ascii="Bookman Old Style" w:hAnsi="Bookman Old Style" w:cs="Noto Serif Light"/>
          <w:spacing w:val="83"/>
          <w:w w:val="98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spacing w:val="-1"/>
          <w:szCs w:val="22"/>
        </w:rPr>
        <w:t>forma</w:t>
      </w:r>
      <w:r w:rsidRPr="00CE2156">
        <w:rPr>
          <w:rStyle w:val="Absatz-Standardschriftart"/>
          <w:rFonts w:ascii="Bookman Old Style" w:hAnsi="Bookman Old Style" w:cs="Noto Serif Light"/>
          <w:spacing w:val="-7"/>
          <w:szCs w:val="22"/>
        </w:rPr>
        <w:t xml:space="preserve"> de cálculo previstos </w:t>
      </w:r>
      <w:r w:rsidRPr="00CE2156">
        <w:rPr>
          <w:rStyle w:val="Absatz-Standardschriftart"/>
          <w:rFonts w:ascii="Bookman Old Style" w:hAnsi="Bookman Old Style" w:cs="Noto Serif Light"/>
          <w:spacing w:val="-6"/>
          <w:szCs w:val="22"/>
        </w:rPr>
        <w:t>em Lei Complementar</w:t>
      </w:r>
      <w:r w:rsidRPr="00CE2156">
        <w:rPr>
          <w:rFonts w:ascii="Bookman Old Style" w:hAnsi="Bookman Old Style" w:cs="Noto Serif Light"/>
          <w:szCs w:val="22"/>
        </w:rPr>
        <w:t>,</w:t>
      </w:r>
      <w:r w:rsidRPr="00CE2156">
        <w:rPr>
          <w:rStyle w:val="Absatz-Standardschriftart"/>
          <w:rFonts w:ascii="Bookman Old Style" w:hAnsi="Bookman Old Style" w:cs="Noto Serif Light"/>
          <w:spacing w:val="-7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spacing w:val="-1"/>
          <w:szCs w:val="22"/>
        </w:rPr>
        <w:t>aos</w:t>
      </w:r>
      <w:r w:rsidRPr="00CE2156">
        <w:rPr>
          <w:rStyle w:val="Absatz-Standardschriftart"/>
          <w:rFonts w:ascii="Bookman Old Style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hAnsi="Bookman Old Style" w:cs="Noto Serif Light"/>
          <w:color w:val="000000"/>
          <w:szCs w:val="22"/>
        </w:rPr>
        <w:t>62 (sessenta e dois) anos de idade, se mulher, e aos 65 (sessenta e cinco) anos de idade, se homem.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 w:cs="Noto Serif Light"/>
          <w:b/>
          <w:bCs/>
          <w:szCs w:val="22"/>
        </w:rPr>
      </w:pP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b/>
          <w:bCs/>
          <w:szCs w:val="22"/>
        </w:rPr>
        <w:t>SEÇÃO III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b/>
          <w:bCs/>
          <w:szCs w:val="22"/>
        </w:rPr>
        <w:t>DA APOSENTADORIA POR IDADE</w:t>
      </w:r>
    </w:p>
    <w:p w:rsidR="00AD18EA" w:rsidRPr="00CE2156" w:rsidRDefault="00AD18EA" w:rsidP="00CE2156">
      <w:pPr>
        <w:ind w:left="850"/>
        <w:jc w:val="both"/>
        <w:rPr>
          <w:rFonts w:ascii="Bookman Old Style" w:eastAsia="Calibri" w:hAnsi="Bookman Old Style" w:cs="Noto Serif Light"/>
          <w:szCs w:val="22"/>
        </w:rPr>
      </w:pP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szCs w:val="22"/>
        </w:rPr>
        <w:t xml:space="preserve">Art. 100-D </w:t>
      </w:r>
      <w:r w:rsidRPr="00CE2156">
        <w:rPr>
          <w:rFonts w:ascii="Bookman Old Style" w:eastAsia="Calibri" w:hAnsi="Bookman Old Style" w:cs="Noto Serif Light"/>
          <w:color w:val="000000"/>
          <w:szCs w:val="22"/>
        </w:rPr>
        <w:t>O servidor efetivo segurado fará jus à aposentadoria voluntária por idade e tempo de co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ntribuição,</w:t>
      </w:r>
      <w:r w:rsidRPr="00CE2156">
        <w:rPr>
          <w:rStyle w:val="Absatz-Standardschriftart"/>
          <w:rFonts w:ascii="Bookman Old Style" w:eastAsia="Calibri" w:hAnsi="Bookman Old Style" w:cs="Noto Serif Light"/>
          <w:spacing w:val="-3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com</w:t>
      </w:r>
      <w:r w:rsidRPr="00CE2156">
        <w:rPr>
          <w:rStyle w:val="Absatz-Standardschriftart"/>
          <w:rFonts w:ascii="Bookman Old Style" w:eastAsia="Calibri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3"/>
          <w:szCs w:val="22"/>
        </w:rPr>
        <w:t xml:space="preserve">proventos 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integrais,</w:t>
      </w:r>
      <w:r w:rsidRPr="00CE2156">
        <w:rPr>
          <w:rStyle w:val="Absatz-Standardschriftart"/>
          <w:rFonts w:ascii="Bookman Old Style" w:eastAsia="Calibri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3"/>
          <w:szCs w:val="22"/>
        </w:rPr>
        <w:t xml:space="preserve">desde que preencha os requisitos e </w:t>
      </w:r>
      <w:r w:rsidRPr="00CE2156">
        <w:rPr>
          <w:rFonts w:ascii="Bookman Old Style" w:eastAsia="Calibri" w:hAnsi="Bookman Old Style" w:cs="Noto Serif Light"/>
          <w:szCs w:val="22"/>
        </w:rPr>
        <w:t>a</w:t>
      </w:r>
      <w:r w:rsidRPr="00CE2156">
        <w:rPr>
          <w:rStyle w:val="Absatz-Standardschriftart"/>
          <w:rFonts w:ascii="Bookman Old Style" w:eastAsia="Calibri" w:hAnsi="Bookman Old Style" w:cs="Noto Serif Light"/>
          <w:spacing w:val="83"/>
          <w:w w:val="98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forma</w:t>
      </w:r>
      <w:r w:rsidRPr="00CE2156">
        <w:rPr>
          <w:rStyle w:val="Absatz-Standardschriftart"/>
          <w:rFonts w:ascii="Bookman Old Style" w:eastAsia="Calibri" w:hAnsi="Bookman Old Style" w:cs="Noto Serif Light"/>
          <w:spacing w:val="-7"/>
          <w:szCs w:val="22"/>
        </w:rPr>
        <w:t xml:space="preserve"> calculada</w:t>
      </w:r>
      <w:r w:rsidRPr="00CE2156">
        <w:rPr>
          <w:rStyle w:val="Absatz-Standardschriftart"/>
          <w:rFonts w:ascii="Bookman Old Style" w:eastAsia="Calibri" w:hAnsi="Bookman Old Style" w:cs="Noto Serif Light"/>
          <w:spacing w:val="-3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6"/>
          <w:szCs w:val="22"/>
        </w:rPr>
        <w:t>em Lei Complementar</w:t>
      </w:r>
      <w:r w:rsidRPr="00CE2156">
        <w:rPr>
          <w:rFonts w:ascii="Bookman Old Style" w:eastAsia="Calibri" w:hAnsi="Bookman Old Style" w:cs="Noto Serif Light"/>
          <w:szCs w:val="22"/>
        </w:rPr>
        <w:t>,</w:t>
      </w:r>
      <w:r w:rsidRPr="00CE2156">
        <w:rPr>
          <w:rStyle w:val="Absatz-Standardschriftart"/>
          <w:rFonts w:ascii="Bookman Old Style" w:eastAsia="Calibri" w:hAnsi="Bookman Old Style" w:cs="Noto Serif Light"/>
          <w:spacing w:val="-7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aos</w:t>
      </w:r>
      <w:r w:rsidRPr="00CE2156">
        <w:rPr>
          <w:rStyle w:val="Absatz-Standardschriftart"/>
          <w:rFonts w:ascii="Bookman Old Style" w:eastAsia="Calibri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color w:val="000000"/>
          <w:szCs w:val="22"/>
        </w:rPr>
        <w:t>62 (sessenta e dois) anos de idade, se mulher, e aos 65 (sessenta e cinco) anos de idade, se homem.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szCs w:val="22"/>
        </w:rPr>
        <w:t xml:space="preserve">Parágrafo único. O </w:t>
      </w:r>
      <w:r w:rsidRPr="00CE2156">
        <w:rPr>
          <w:rFonts w:ascii="Bookman Old Style" w:eastAsia="Calibri" w:hAnsi="Bookman Old Style" w:cs="Noto Serif Light"/>
          <w:color w:val="000000"/>
          <w:szCs w:val="22"/>
        </w:rPr>
        <w:t>servidor efetivo segurado fará jus à aposentadoria por idade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,</w:t>
      </w:r>
      <w:r w:rsidRPr="00CE2156">
        <w:rPr>
          <w:rStyle w:val="Absatz-Standardschriftart"/>
          <w:rFonts w:ascii="Bookman Old Style" w:eastAsia="Calibri" w:hAnsi="Bookman Old Style" w:cs="Noto Serif Light"/>
          <w:spacing w:val="-3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com</w:t>
      </w:r>
      <w:r w:rsidRPr="00CE2156">
        <w:rPr>
          <w:rStyle w:val="Absatz-Standardschriftart"/>
          <w:rFonts w:ascii="Bookman Old Style" w:eastAsia="Calibri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3"/>
          <w:szCs w:val="22"/>
        </w:rPr>
        <w:t>proventos proporcionais</w:t>
      </w:r>
      <w:r w:rsidRPr="00CE2156">
        <w:rPr>
          <w:rStyle w:val="Absatz-Standardschriftart"/>
          <w:rFonts w:ascii="Bookman Old Style" w:eastAsia="Calibri" w:hAnsi="Bookman Old Style" w:cs="Noto Serif Light"/>
          <w:spacing w:val="-4"/>
          <w:szCs w:val="22"/>
        </w:rPr>
        <w:t xml:space="preserve"> ao tempo de contribuição, desde que preenchidos os requisitos e a forma de 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 xml:space="preserve">cálculo, previstos em </w:t>
      </w:r>
      <w:r w:rsidRPr="00CE2156">
        <w:rPr>
          <w:rStyle w:val="Absatz-Standardschriftart"/>
          <w:rFonts w:ascii="Bookman Old Style" w:eastAsia="Calibri" w:hAnsi="Bookman Old Style" w:cs="Noto Serif Light"/>
          <w:spacing w:val="-6"/>
          <w:szCs w:val="22"/>
        </w:rPr>
        <w:t>Lei Complementar</w:t>
      </w:r>
      <w:r w:rsidRPr="00CE2156">
        <w:rPr>
          <w:rFonts w:ascii="Bookman Old Style" w:eastAsia="Calibri" w:hAnsi="Bookman Old Style" w:cs="Noto Serif Light"/>
          <w:szCs w:val="22"/>
        </w:rPr>
        <w:t>,</w:t>
      </w:r>
      <w:r w:rsidRPr="00CE2156">
        <w:rPr>
          <w:rStyle w:val="Absatz-Standardschriftart"/>
          <w:rFonts w:ascii="Bookman Old Style" w:eastAsia="Calibri" w:hAnsi="Bookman Old Style" w:cs="Noto Serif Light"/>
          <w:spacing w:val="-7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spacing w:val="-1"/>
          <w:szCs w:val="22"/>
        </w:rPr>
        <w:t>aos</w:t>
      </w:r>
      <w:r w:rsidRPr="00CE2156">
        <w:rPr>
          <w:rStyle w:val="Absatz-Standardschriftart"/>
          <w:rFonts w:ascii="Bookman Old Style" w:eastAsia="Calibri" w:hAnsi="Bookman Old Style" w:cs="Noto Serif Light"/>
          <w:spacing w:val="-4"/>
          <w:szCs w:val="22"/>
        </w:rPr>
        <w:t xml:space="preserve"> </w:t>
      </w:r>
      <w:r w:rsidRPr="00CE2156">
        <w:rPr>
          <w:rStyle w:val="Absatz-Standardschriftart"/>
          <w:rFonts w:ascii="Bookman Old Style" w:eastAsia="Calibri" w:hAnsi="Bookman Old Style" w:cs="Noto Serif Light"/>
          <w:color w:val="000000"/>
          <w:szCs w:val="22"/>
        </w:rPr>
        <w:t>62 (sessenta e dois) anos de idade, se mulher, e aos 65 (sessenta e cinco) anos de idade, se homem.</w:t>
      </w:r>
    </w:p>
    <w:p w:rsidR="00AD18EA" w:rsidRPr="00CE2156" w:rsidRDefault="00AD18EA" w:rsidP="00CE2156">
      <w:pPr>
        <w:ind w:left="850"/>
        <w:jc w:val="both"/>
        <w:rPr>
          <w:rFonts w:ascii="Bookman Old Style" w:eastAsia="Calibri" w:hAnsi="Bookman Old Style" w:cs="Noto Serif Light"/>
          <w:b/>
          <w:bCs/>
          <w:szCs w:val="22"/>
        </w:rPr>
      </w:pP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b/>
          <w:bCs/>
          <w:szCs w:val="22"/>
        </w:rPr>
        <w:t>SEÇÃO IV</w:t>
      </w: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eastAsia="Calibri" w:hAnsi="Bookman Old Style" w:cs="Noto Serif Light"/>
          <w:b/>
          <w:bCs/>
          <w:szCs w:val="22"/>
        </w:rPr>
        <w:t>DAS REGRAS TRANSITÓRIAS</w:t>
      </w:r>
    </w:p>
    <w:p w:rsidR="00AD18EA" w:rsidRPr="00CE2156" w:rsidRDefault="00AD18EA" w:rsidP="00CE2156">
      <w:pPr>
        <w:ind w:left="850"/>
        <w:jc w:val="both"/>
        <w:rPr>
          <w:rFonts w:ascii="Bookman Old Style" w:eastAsia="Calibri" w:hAnsi="Bookman Old Style" w:cs="Noto Serif Light"/>
          <w:b/>
          <w:bCs/>
          <w:szCs w:val="22"/>
        </w:rPr>
      </w:pPr>
    </w:p>
    <w:p w:rsidR="00B35612" w:rsidRPr="00B35612" w:rsidRDefault="002D40B0" w:rsidP="00CE2156">
      <w:pPr>
        <w:suppressAutoHyphens w:val="0"/>
        <w:ind w:left="851"/>
        <w:jc w:val="both"/>
        <w:rPr>
          <w:rFonts w:ascii="Bookman Old Style" w:eastAsiaTheme="minorHAnsi" w:hAnsi="Bookman Old Style" w:cstheme="minorBidi"/>
          <w:color w:val="auto"/>
          <w:szCs w:val="22"/>
        </w:rPr>
      </w:pPr>
      <w:r>
        <w:rPr>
          <w:rFonts w:ascii="Bookman Old Style" w:eastAsiaTheme="minorHAnsi" w:hAnsi="Bookman Old Style" w:cstheme="minorBidi"/>
          <w:color w:val="auto"/>
          <w:szCs w:val="22"/>
        </w:rPr>
        <w:t>Art. 100-E</w:t>
      </w:r>
      <w:r w:rsidR="00B35612" w:rsidRPr="00B35612">
        <w:rPr>
          <w:rFonts w:ascii="Bookman Old Style" w:eastAsiaTheme="minorHAnsi" w:hAnsi="Bookman Old Style" w:cstheme="minorBidi"/>
          <w:color w:val="auto"/>
          <w:szCs w:val="22"/>
        </w:rPr>
        <w:t xml:space="preserve"> O servidor segurado que tenha ingressado no serviço público antes da publicação desta Emenda à Lei Orgânica Municipal, não está sujeito a observância da idade prevista neste capítulo, podendo optar pelas regras até então vigentes e reproduzidas em lei complementar, desde que atenda aos requisitos nela previstos.”</w:t>
      </w:r>
    </w:p>
    <w:p w:rsidR="00AD18EA" w:rsidRPr="00CE2156" w:rsidRDefault="00AD18EA" w:rsidP="00CE2156">
      <w:pPr>
        <w:jc w:val="both"/>
        <w:rPr>
          <w:rFonts w:ascii="Bookman Old Style" w:eastAsia="Calibri" w:hAnsi="Bookman Old Style" w:cs="Noto Serif Light"/>
          <w:b/>
          <w:szCs w:val="22"/>
        </w:rPr>
      </w:pPr>
    </w:p>
    <w:p w:rsidR="00AD18EA" w:rsidRDefault="00AD18EA" w:rsidP="00CE2156">
      <w:pPr>
        <w:jc w:val="both"/>
        <w:rPr>
          <w:rFonts w:ascii="Bookman Old Style" w:hAnsi="Bookman Old Style" w:cs="Noto Serif Light"/>
          <w:szCs w:val="22"/>
        </w:rPr>
      </w:pPr>
      <w:r w:rsidRPr="00CE2156">
        <w:rPr>
          <w:rFonts w:ascii="Bookman Old Style" w:hAnsi="Bookman Old Style" w:cs="Noto Serif Light"/>
          <w:b/>
          <w:szCs w:val="22"/>
        </w:rPr>
        <w:tab/>
        <w:t xml:space="preserve">Art. 3º </w:t>
      </w:r>
      <w:r w:rsidR="00B35612" w:rsidRPr="00CE2156">
        <w:rPr>
          <w:rFonts w:ascii="Bookman Old Style" w:hAnsi="Bookman Old Style" w:cs="Noto Serif Light"/>
          <w:szCs w:val="22"/>
        </w:rPr>
        <w:t>Esta Emenda à</w:t>
      </w:r>
      <w:r w:rsidRPr="00CE2156">
        <w:rPr>
          <w:rFonts w:ascii="Bookman Old Style" w:hAnsi="Bookman Old Style" w:cs="Noto Serif Light"/>
          <w:szCs w:val="22"/>
        </w:rPr>
        <w:t xml:space="preserve"> Lei Orgânica Municipal entra em vigor na data de sua publicação, revogando-se as disposições em contrário.</w:t>
      </w:r>
    </w:p>
    <w:p w:rsidR="00E334A1" w:rsidRDefault="00E334A1" w:rsidP="00CE2156">
      <w:pPr>
        <w:jc w:val="both"/>
        <w:rPr>
          <w:rFonts w:ascii="Bookman Old Style" w:hAnsi="Bookman Old Style" w:cs="Noto Serif Light"/>
          <w:szCs w:val="22"/>
        </w:rPr>
      </w:pPr>
    </w:p>
    <w:p w:rsidR="00E334A1" w:rsidRPr="00CE2156" w:rsidRDefault="00E334A1" w:rsidP="00E334A1">
      <w:pPr>
        <w:jc w:val="right"/>
        <w:rPr>
          <w:rFonts w:ascii="Bookman Old Style" w:hAnsi="Bookman Old Style"/>
          <w:szCs w:val="22"/>
        </w:rPr>
      </w:pPr>
      <w:r>
        <w:rPr>
          <w:rFonts w:ascii="Bookman Old Style" w:hAnsi="Bookman Old Style" w:cs="Noto Serif Light"/>
          <w:szCs w:val="22"/>
        </w:rPr>
        <w:t>Dois Irmãos, 15 de setembro de 2022.</w:t>
      </w:r>
    </w:p>
    <w:p w:rsidR="00AD18EA" w:rsidRPr="00CE2156" w:rsidRDefault="00AD18EA" w:rsidP="00CE2156">
      <w:pPr>
        <w:jc w:val="both"/>
        <w:rPr>
          <w:rFonts w:ascii="Bookman Old Style" w:hAnsi="Bookman Old Style"/>
          <w:szCs w:val="22"/>
        </w:rPr>
      </w:pPr>
    </w:p>
    <w:p w:rsidR="00AD18EA" w:rsidRPr="00CE2156" w:rsidRDefault="00AD18EA" w:rsidP="00CE2156">
      <w:pPr>
        <w:widowControl w:val="0"/>
        <w:jc w:val="both"/>
        <w:rPr>
          <w:rFonts w:ascii="Bookman Old Style" w:eastAsia="Noto Serif" w:hAnsi="Bookman Old Style" w:cs="Noto Serif Light"/>
          <w:b/>
          <w:bCs/>
          <w:szCs w:val="22"/>
        </w:rPr>
      </w:pPr>
    </w:p>
    <w:p w:rsidR="00AD18EA" w:rsidRPr="00CE2156" w:rsidRDefault="00AD18EA" w:rsidP="00CE2156">
      <w:pPr>
        <w:jc w:val="both"/>
        <w:rPr>
          <w:rFonts w:ascii="Bookman Old Style" w:eastAsia="Noto Serif" w:hAnsi="Bookman Old Style" w:cs="Noto Serif Light"/>
          <w:szCs w:val="22"/>
        </w:rPr>
      </w:pPr>
    </w:p>
    <w:p w:rsidR="00E334A1" w:rsidRDefault="00E334A1" w:rsidP="00E334A1">
      <w:pPr>
        <w:jc w:val="both"/>
        <w:rPr>
          <w:rFonts w:ascii="Bookman Old Style" w:hAnsi="Bookman Old Style" w:cs="Bookman Old Style"/>
          <w:b/>
          <w:szCs w:val="22"/>
          <w:lang w:eastAsia="zh-CN"/>
        </w:rPr>
      </w:pPr>
      <w:r>
        <w:rPr>
          <w:rFonts w:ascii="Bookman Old Style" w:hAnsi="Bookman Old Style" w:cs="Bookman Old Style"/>
          <w:b/>
          <w:szCs w:val="22"/>
          <w:lang w:eastAsia="zh-CN"/>
        </w:rPr>
        <w:t>D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ARLEI LUIS KAUFMANN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 xml:space="preserve">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EDERSON ARANTES BUENO</w:t>
      </w:r>
    </w:p>
    <w:p w:rsidR="00E334A1" w:rsidRPr="00A561C1" w:rsidRDefault="00E334A1" w:rsidP="00E334A1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PSB</w:t>
      </w:r>
      <w:r w:rsidRPr="00A561C1"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MDB</w:t>
      </w:r>
    </w:p>
    <w:p w:rsidR="00E334A1" w:rsidRDefault="00E334A1" w:rsidP="00E334A1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E334A1" w:rsidRDefault="00E334A1" w:rsidP="00E334A1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E334A1" w:rsidRDefault="00E334A1" w:rsidP="00E334A1">
      <w:pPr>
        <w:rPr>
          <w:rFonts w:ascii="Bookman Old Style" w:hAnsi="Bookman Old Style" w:cs="Bookman Old Style"/>
          <w:b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ELONY EDGAR NYLAND   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PAULO CEZAR GEHRKE       </w:t>
      </w:r>
    </w:p>
    <w:p w:rsidR="00E334A1" w:rsidRDefault="00E334A1" w:rsidP="00E334A1">
      <w:pPr>
        <w:rPr>
          <w:rFonts w:ascii="Bookman Old Style" w:hAnsi="Bookman Old Style" w:cs="Bookman Old Style"/>
          <w:b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VEREADOR DO </w:t>
      </w:r>
      <w:r>
        <w:rPr>
          <w:rFonts w:ascii="Bookman Old Style" w:hAnsi="Bookman Old Style" w:cs="Bookman Old Style"/>
          <w:b/>
          <w:szCs w:val="22"/>
          <w:lang w:eastAsia="zh-CN"/>
        </w:rPr>
        <w:t>MDB</w:t>
      </w:r>
      <w:r w:rsidRPr="00A561C1"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PP</w:t>
      </w:r>
    </w:p>
    <w:p w:rsidR="00E334A1" w:rsidRDefault="00E334A1" w:rsidP="00E334A1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E334A1" w:rsidRDefault="00E334A1" w:rsidP="00E334A1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E334A1" w:rsidRPr="00AE4C87" w:rsidRDefault="00E334A1" w:rsidP="00E334A1">
      <w:pPr>
        <w:rPr>
          <w:rFonts w:ascii="Bookman Old Style" w:hAnsi="Bookman Old Style" w:cs="Bookman Old Style"/>
          <w:b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RAMON ARNOLD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SÉRGIO KROETZ</w:t>
      </w:r>
    </w:p>
    <w:p w:rsidR="00E334A1" w:rsidRPr="00AE4C87" w:rsidRDefault="00E334A1" w:rsidP="00E334A1">
      <w:pPr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VEREADOR DO </w:t>
      </w:r>
      <w:r>
        <w:rPr>
          <w:rFonts w:ascii="Bookman Old Style" w:hAnsi="Bookman Old Style" w:cs="Bookman Old Style"/>
          <w:b/>
          <w:szCs w:val="22"/>
          <w:lang w:eastAsia="zh-CN"/>
        </w:rPr>
        <w:t>PP</w:t>
      </w:r>
      <w:r w:rsidRPr="00A561C1"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PP</w:t>
      </w:r>
    </w:p>
    <w:p w:rsidR="00E334A1" w:rsidRPr="00AE4C87" w:rsidRDefault="00E334A1" w:rsidP="00E334A1">
      <w:pPr>
        <w:jc w:val="both"/>
        <w:rPr>
          <w:rFonts w:cs="Bookman Old Style"/>
          <w:b/>
          <w:szCs w:val="22"/>
          <w:lang w:eastAsia="zh-CN"/>
        </w:rPr>
      </w:pPr>
    </w:p>
    <w:p w:rsidR="00E334A1" w:rsidRPr="00AE4C87" w:rsidRDefault="00E334A1" w:rsidP="00E334A1">
      <w:pPr>
        <w:jc w:val="both"/>
        <w:rPr>
          <w:rFonts w:ascii="Bookman Old Style" w:hAnsi="Bookman Old Style" w:cs="Bookman Old Style"/>
          <w:b/>
          <w:szCs w:val="22"/>
          <w:lang w:eastAsia="zh-CN"/>
        </w:rPr>
      </w:pPr>
    </w:p>
    <w:p w:rsidR="00E334A1" w:rsidRPr="00AE4C87" w:rsidRDefault="00E334A1" w:rsidP="00E334A1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CELINA TEIXEIRA CHRISTOVÃO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PAULINO ADALBERTO RENZ</w:t>
      </w:r>
      <w:r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VEREADORA DO MDB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PDT</w:t>
      </w:r>
    </w:p>
    <w:p w:rsidR="00E334A1" w:rsidRPr="00AE4C87" w:rsidRDefault="00E334A1" w:rsidP="00E334A1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      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</w:p>
    <w:p w:rsidR="00E334A1" w:rsidRPr="00AE4C87" w:rsidRDefault="00E334A1" w:rsidP="00E334A1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SHEILA DA SILVA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   </w:t>
      </w:r>
    </w:p>
    <w:p w:rsidR="00E334A1" w:rsidRPr="00E334A1" w:rsidRDefault="00E334A1" w:rsidP="00E334A1">
      <w:pPr>
        <w:tabs>
          <w:tab w:val="left" w:pos="1134"/>
          <w:tab w:val="left" w:pos="4111"/>
        </w:tabs>
        <w:spacing w:line="288" w:lineRule="auto"/>
        <w:jc w:val="both"/>
        <w:rPr>
          <w:rFonts w:ascii="Bookman Old Style" w:hAnsi="Bookman Old Style" w:cs="Souvenir Lt BT"/>
          <w:szCs w:val="22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VEREADORA DO PT</w:t>
      </w:r>
    </w:p>
    <w:p w:rsidR="00AD18EA" w:rsidRPr="00CE2156" w:rsidRDefault="00A02138" w:rsidP="00CE2156">
      <w:pPr>
        <w:jc w:val="center"/>
        <w:rPr>
          <w:rFonts w:ascii="Bookman Old Style" w:hAnsi="Bookman Old Style"/>
          <w:szCs w:val="22"/>
        </w:rPr>
      </w:pPr>
      <w:r>
        <w:rPr>
          <w:rFonts w:ascii="Bookman Old Style" w:hAnsi="Bookman Old Style" w:cs="Noto Serif Light"/>
          <w:b/>
          <w:szCs w:val="22"/>
        </w:rPr>
        <w:lastRenderedPageBreak/>
        <w:t>JUSTIFICATIVA</w:t>
      </w:r>
    </w:p>
    <w:p w:rsidR="00AD18EA" w:rsidRPr="00CE2156" w:rsidRDefault="00AD18EA" w:rsidP="00CE2156">
      <w:pPr>
        <w:jc w:val="center"/>
        <w:rPr>
          <w:rFonts w:ascii="Bookman Old Style" w:hAnsi="Bookman Old Style"/>
          <w:szCs w:val="22"/>
        </w:rPr>
      </w:pPr>
    </w:p>
    <w:p w:rsidR="00D433BA" w:rsidRDefault="00AD18EA" w:rsidP="00C623BF">
      <w:pPr>
        <w:ind w:firstLine="851"/>
        <w:jc w:val="both"/>
        <w:rPr>
          <w:rFonts w:ascii="Bookman Old Style" w:eastAsia="Noto Serif" w:hAnsi="Bookman Old Style" w:cs="Noto Serif Light"/>
          <w:iCs/>
          <w:szCs w:val="22"/>
        </w:rPr>
      </w:pPr>
      <w:r w:rsidRPr="00CE2156">
        <w:rPr>
          <w:rFonts w:ascii="Bookman Old Style" w:eastAsia="Noto Serif" w:hAnsi="Bookman Old Style" w:cs="Noto Serif Light"/>
          <w:szCs w:val="22"/>
        </w:rPr>
        <w:t>Encaminhamo</w:t>
      </w:r>
      <w:r w:rsidR="00CE2156">
        <w:rPr>
          <w:rFonts w:ascii="Bookman Old Style" w:eastAsia="Noto Serif" w:hAnsi="Bookman Old Style" w:cs="Noto Serif Light"/>
          <w:szCs w:val="22"/>
        </w:rPr>
        <w:t>s o presente Projeto de Emenda à</w:t>
      </w:r>
      <w:r w:rsidRPr="00CE2156">
        <w:rPr>
          <w:rFonts w:ascii="Bookman Old Style" w:eastAsia="Noto Serif" w:hAnsi="Bookman Old Style" w:cs="Noto Serif Light"/>
          <w:szCs w:val="22"/>
        </w:rPr>
        <w:t xml:space="preserve"> Lei Orgânica do Município, que “</w:t>
      </w:r>
      <w:r w:rsidRPr="00CE2156">
        <w:rPr>
          <w:rFonts w:ascii="Bookman Old Style" w:eastAsia="Noto Serif" w:hAnsi="Bookman Old Style" w:cs="Noto Serif Light"/>
          <w:b/>
          <w:szCs w:val="22"/>
        </w:rPr>
        <w:t>REVOGA O ARTIGO 97 DA LEI ORGÂNICA DO MUNICÍPIO E ACRESCENTA AO TITULO II, O CAPÍTULO V, DO REGIME PRÓPRIO DOS SERVIDORES EFETIVOS, COMPOSTO DO ART. 100-A, DA SEÇÃO I COMPOSTA DO ARTIGO 100-B, DA SEÇÃO II COMPOSTA DO ART.100-C, DA SEÇÃO III COMPOSTA DO ART. 100-D E DA SEÇÃO IV COMPOSTA DO ART. 100-E, À LEI ORGÂNICA DO MUNICÍPIO DE DOIS IRMÃOS</w:t>
      </w:r>
      <w:r w:rsidRPr="00CE2156">
        <w:rPr>
          <w:rFonts w:ascii="Bookman Old Style" w:eastAsia="Noto Serif" w:hAnsi="Bookman Old Style" w:cs="Noto Serif Light"/>
          <w:szCs w:val="22"/>
        </w:rPr>
        <w:t>”,</w:t>
      </w:r>
      <w:r w:rsidR="00CE2156">
        <w:rPr>
          <w:rFonts w:ascii="Bookman Old Style" w:eastAsia="Noto Serif" w:hAnsi="Bookman Old Style" w:cs="Noto Serif Light"/>
          <w:szCs w:val="22"/>
        </w:rPr>
        <w:t xml:space="preserve"> nos mesmos moldes em que apresentada pelo Poder Executivo</w:t>
      </w:r>
      <w:r w:rsidR="002D40B0">
        <w:rPr>
          <w:rFonts w:ascii="Bookman Old Style" w:eastAsia="Noto Serif" w:hAnsi="Bookman Old Style" w:cs="Noto Serif Light"/>
          <w:i/>
          <w:iCs/>
          <w:szCs w:val="22"/>
        </w:rPr>
        <w:t xml:space="preserve"> </w:t>
      </w:r>
      <w:r w:rsidR="002D40B0" w:rsidRPr="002D40B0">
        <w:rPr>
          <w:rFonts w:ascii="Bookman Old Style" w:eastAsia="Noto Serif" w:hAnsi="Bookman Old Style" w:cs="Noto Serif Light"/>
          <w:iCs/>
          <w:szCs w:val="22"/>
        </w:rPr>
        <w:t>recentemente</w:t>
      </w:r>
      <w:r w:rsidR="00A02138">
        <w:rPr>
          <w:rFonts w:ascii="Bookman Old Style" w:eastAsia="Noto Serif" w:hAnsi="Bookman Old Style" w:cs="Noto Serif Light"/>
          <w:iCs/>
          <w:szCs w:val="22"/>
        </w:rPr>
        <w:t xml:space="preserve"> o qual não obteve aprovação por maioria de 2/3 dos vereadores em sessão extraordinária ocorrida em 08/09/2022. Entretanto, com a </w:t>
      </w:r>
      <w:r w:rsidR="00D433BA">
        <w:rPr>
          <w:rFonts w:ascii="Bookman Old Style" w:eastAsia="Noto Serif" w:hAnsi="Bookman Old Style" w:cs="Noto Serif Light"/>
          <w:iCs/>
          <w:szCs w:val="22"/>
        </w:rPr>
        <w:t>aprovação do Projeto de Lei Complementar 01/2022, a inclusão das disposições contidas nesta Proposta de Emenda à Lei Orgânica se fazem necessárias, razão pela qual as modificações são novamente apresentadas com vistas a serem submetidas ao Plenário.</w:t>
      </w:r>
    </w:p>
    <w:p w:rsidR="00D433BA" w:rsidRDefault="00D433BA" w:rsidP="00C623BF">
      <w:pPr>
        <w:ind w:firstLine="851"/>
        <w:jc w:val="both"/>
        <w:rPr>
          <w:rFonts w:ascii="Bookman Old Style" w:eastAsia="Noto Serif" w:hAnsi="Bookman Old Style" w:cs="Noto Serif Light"/>
          <w:iCs/>
          <w:szCs w:val="22"/>
        </w:rPr>
      </w:pPr>
    </w:p>
    <w:p w:rsidR="00AD18EA" w:rsidRPr="00CE2156" w:rsidRDefault="00C623BF" w:rsidP="00C623BF">
      <w:pPr>
        <w:ind w:firstLine="851"/>
        <w:jc w:val="both"/>
        <w:rPr>
          <w:rFonts w:ascii="Bookman Old Style" w:hAnsi="Bookman Old Style"/>
          <w:szCs w:val="22"/>
        </w:rPr>
      </w:pPr>
      <w:r>
        <w:rPr>
          <w:rFonts w:ascii="Bookman Old Style" w:eastAsia="Noto Serif" w:hAnsi="Bookman Old Style" w:cs="Noto Serif Light"/>
          <w:iCs/>
          <w:szCs w:val="22"/>
        </w:rPr>
        <w:t>Sobre a possibilidade de nova apresentação da matéria na mesma Sessão Legislativa, o art. 110, III, do Regimento Interno possibilita tal situação se a proposição for subscrita pela maioria absoluta dos vereadores, hipótese que se configura, não sendo, portanto, caso de rejeição sumária por parte da Presidência.</w:t>
      </w:r>
      <w:r w:rsidR="00D433BA">
        <w:rPr>
          <w:rFonts w:ascii="Bookman Old Style" w:eastAsia="Noto Serif" w:hAnsi="Bookman Old Style" w:cs="Noto Serif Light"/>
          <w:iCs/>
          <w:szCs w:val="22"/>
        </w:rPr>
        <w:t xml:space="preserve"> </w:t>
      </w:r>
      <w:r w:rsidR="00A02138">
        <w:rPr>
          <w:rFonts w:ascii="Bookman Old Style" w:eastAsia="Noto Serif" w:hAnsi="Bookman Old Style" w:cs="Noto Serif Light"/>
          <w:iCs/>
          <w:szCs w:val="22"/>
        </w:rPr>
        <w:t xml:space="preserve"> </w:t>
      </w:r>
    </w:p>
    <w:p w:rsidR="00AD18EA" w:rsidRPr="00CE2156" w:rsidRDefault="00AD18EA" w:rsidP="00C623BF">
      <w:pPr>
        <w:ind w:firstLine="851"/>
        <w:jc w:val="both"/>
        <w:rPr>
          <w:rFonts w:ascii="Bookman Old Style" w:hAnsi="Bookman Old Style" w:cs="Noto Serif Light"/>
          <w:b/>
          <w:szCs w:val="22"/>
        </w:rPr>
      </w:pPr>
    </w:p>
    <w:p w:rsidR="00AD18EA" w:rsidRPr="00CE2156" w:rsidRDefault="00C623BF" w:rsidP="00C623BF">
      <w:pPr>
        <w:ind w:firstLine="851"/>
        <w:jc w:val="both"/>
        <w:rPr>
          <w:rFonts w:ascii="Bookman Old Style" w:hAnsi="Bookman Old Style"/>
          <w:szCs w:val="22"/>
        </w:rPr>
      </w:pPr>
      <w:r>
        <w:rPr>
          <w:rFonts w:ascii="Bookman Old Style" w:hAnsi="Bookman Old Style" w:cs="Noto Serif Light"/>
          <w:color w:val="000000"/>
          <w:szCs w:val="22"/>
        </w:rPr>
        <w:t>Quanto ao mérito da proposta, a</w:t>
      </w:r>
      <w:r w:rsidR="00AD18EA" w:rsidRPr="00CE2156">
        <w:rPr>
          <w:rFonts w:ascii="Bookman Old Style" w:hAnsi="Bookman Old Style" w:cs="Noto Serif Light"/>
          <w:color w:val="000000"/>
          <w:szCs w:val="22"/>
        </w:rPr>
        <w:t xml:space="preserve"> revogação do dispositivo do ar</w:t>
      </w:r>
      <w:r>
        <w:rPr>
          <w:rFonts w:ascii="Bookman Old Style" w:hAnsi="Bookman Old Style" w:cs="Noto Serif Light"/>
          <w:color w:val="000000"/>
          <w:szCs w:val="22"/>
        </w:rPr>
        <w:t>tigo 97 da Lei Orgânica Municipal</w:t>
      </w:r>
      <w:r w:rsidR="00AD18EA" w:rsidRPr="00CE2156">
        <w:rPr>
          <w:rFonts w:ascii="Bookman Old Style" w:hAnsi="Bookman Old Style" w:cs="Noto Serif Light"/>
          <w:color w:val="000000"/>
          <w:szCs w:val="22"/>
        </w:rPr>
        <w:t xml:space="preserve"> tem como escopo extirpar dita exigência, porquanto, a norma atual se trata de lei ordinária. </w:t>
      </w:r>
    </w:p>
    <w:p w:rsidR="00AD18EA" w:rsidRPr="00CE2156" w:rsidRDefault="00AD18EA" w:rsidP="00C623BF">
      <w:pPr>
        <w:ind w:firstLine="851"/>
        <w:jc w:val="both"/>
        <w:rPr>
          <w:rFonts w:ascii="Bookman Old Style" w:hAnsi="Bookman Old Style"/>
          <w:szCs w:val="22"/>
        </w:rPr>
      </w:pPr>
    </w:p>
    <w:p w:rsidR="00AD18EA" w:rsidRPr="00CE2156" w:rsidRDefault="00AD18EA" w:rsidP="00C623BF">
      <w:pPr>
        <w:ind w:firstLine="851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color w:val="000000"/>
          <w:szCs w:val="22"/>
        </w:rPr>
        <w:t>A inclusão das dem</w:t>
      </w:r>
      <w:r w:rsidR="008C4C20">
        <w:rPr>
          <w:rFonts w:ascii="Bookman Old Style" w:hAnsi="Bookman Old Style" w:cs="Noto Serif Light"/>
          <w:color w:val="000000"/>
          <w:szCs w:val="22"/>
        </w:rPr>
        <w:t xml:space="preserve">ais normas se deve a atender </w:t>
      </w:r>
      <w:r w:rsidRPr="00CE2156">
        <w:rPr>
          <w:rFonts w:ascii="Bookman Old Style" w:hAnsi="Bookman Old Style" w:cs="Noto Serif Light"/>
          <w:color w:val="000000"/>
          <w:szCs w:val="22"/>
        </w:rPr>
        <w:t xml:space="preserve">norma constitucional que assim impõe a partir do advento da Emenda Constitucional nº 103, de 2019, de </w:t>
      </w:r>
      <w:r w:rsidR="008C4C20">
        <w:rPr>
          <w:rFonts w:ascii="Bookman Old Style" w:hAnsi="Bookman Old Style" w:cs="Noto Serif Light"/>
          <w:color w:val="000000"/>
          <w:szCs w:val="22"/>
        </w:rPr>
        <w:t>12 de novembro de 2019, quanto à</w:t>
      </w:r>
      <w:r w:rsidRPr="00CE2156">
        <w:rPr>
          <w:rFonts w:ascii="Bookman Old Style" w:hAnsi="Bookman Old Style" w:cs="Noto Serif Light"/>
          <w:color w:val="000000"/>
          <w:szCs w:val="22"/>
        </w:rPr>
        <w:t xml:space="preserve"> fixação da idade para aposentação dos servidores efetivos. </w:t>
      </w:r>
    </w:p>
    <w:p w:rsidR="00AD18EA" w:rsidRPr="00CE2156" w:rsidRDefault="00AD18EA" w:rsidP="00C623BF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</w:p>
    <w:p w:rsidR="00AD18EA" w:rsidRPr="00CE2156" w:rsidRDefault="00AD18EA" w:rsidP="00C623BF">
      <w:pPr>
        <w:ind w:firstLine="851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color w:val="000000"/>
          <w:szCs w:val="22"/>
        </w:rPr>
        <w:t>Sendo que o Município para os novos servidores efetivos adotou a mesma regra da idade prevista no art. 40, inciso III, que dispõe:</w:t>
      </w:r>
    </w:p>
    <w:p w:rsidR="00AD18EA" w:rsidRPr="00CE2156" w:rsidRDefault="00AD18EA" w:rsidP="00CE2156">
      <w:pPr>
        <w:jc w:val="both"/>
        <w:rPr>
          <w:rFonts w:ascii="Bookman Old Style" w:hAnsi="Bookman Old Style" w:cs="Noto Serif Light"/>
          <w:color w:val="000000"/>
          <w:szCs w:val="22"/>
        </w:rPr>
      </w:pPr>
    </w:p>
    <w:p w:rsidR="00AD18EA" w:rsidRPr="00CE2156" w:rsidRDefault="00AD18EA" w:rsidP="00CE2156">
      <w:pPr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i/>
          <w:iCs/>
          <w:color w:val="auto"/>
          <w:szCs w:val="22"/>
        </w:rPr>
        <w:t>“</w:t>
      </w:r>
      <w:hyperlink r:id="rId6" w:anchor="art40.0" w:history="1">
        <w:r w:rsidRPr="00CE2156">
          <w:rPr>
            <w:rStyle w:val="Hyperlink"/>
            <w:rFonts w:ascii="Bookman Old Style" w:hAnsi="Bookman Old Style" w:cs="Noto Serif Light"/>
            <w:i/>
            <w:iCs/>
            <w:color w:val="auto"/>
            <w:szCs w:val="22"/>
          </w:rPr>
          <w:t>Art. 40</w:t>
        </w:r>
      </w:hyperlink>
      <w:r w:rsidRPr="00CE2156">
        <w:rPr>
          <w:rFonts w:ascii="Bookman Old Style" w:hAnsi="Bookman Old Style" w:cs="Noto Serif Light"/>
          <w:i/>
          <w:iCs/>
          <w:color w:val="000000"/>
          <w:szCs w:val="22"/>
        </w:rPr>
        <w:t>. O regime próprio de previdência social dos servidores titulares de cargos efetivos terá caráter contributivo e solidário, mediante contribuição do respectivo ente federativo, de servidores ativos, de aposentados e de pensionistas, observados critérios que preservem o equilíbrio financeiro e atuarial.</w:t>
      </w:r>
    </w:p>
    <w:p w:rsidR="00AD18EA" w:rsidRPr="00CE2156" w:rsidRDefault="00AD18EA" w:rsidP="00CE2156">
      <w:pPr>
        <w:jc w:val="both"/>
        <w:rPr>
          <w:rFonts w:ascii="Bookman Old Style" w:hAnsi="Bookman Old Style"/>
          <w:szCs w:val="22"/>
        </w:rPr>
      </w:pPr>
    </w:p>
    <w:p w:rsidR="00AD18EA" w:rsidRPr="00CE2156" w:rsidRDefault="00AD18EA" w:rsidP="00CE2156">
      <w:pPr>
        <w:pStyle w:val="Corpodetexto"/>
        <w:spacing w:after="0" w:line="240" w:lineRule="auto"/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color w:val="auto"/>
          <w:szCs w:val="22"/>
        </w:rPr>
        <w:t>§ 1º O servidor abrangido por regime próprio de previdência social será aposentado:</w:t>
      </w:r>
    </w:p>
    <w:p w:rsidR="00CE2156" w:rsidRDefault="00CE2156" w:rsidP="00CE2156">
      <w:pPr>
        <w:pStyle w:val="Corpodetexto"/>
        <w:spacing w:after="0" w:line="240" w:lineRule="auto"/>
        <w:ind w:left="850"/>
        <w:jc w:val="both"/>
        <w:rPr>
          <w:rFonts w:ascii="Bookman Old Style" w:hAnsi="Bookman Old Style" w:cs="Noto Serif Light"/>
          <w:color w:val="auto"/>
          <w:szCs w:val="22"/>
        </w:rPr>
      </w:pPr>
    </w:p>
    <w:p w:rsidR="00AD18EA" w:rsidRPr="00CE2156" w:rsidRDefault="00AD18EA" w:rsidP="00CE2156">
      <w:pPr>
        <w:pStyle w:val="Corpodetexto"/>
        <w:spacing w:after="0" w:line="240" w:lineRule="auto"/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color w:val="auto"/>
          <w:szCs w:val="22"/>
        </w:rPr>
        <w:t>(...)</w:t>
      </w:r>
    </w:p>
    <w:p w:rsidR="00CE2156" w:rsidRDefault="00CE2156" w:rsidP="00CE2156">
      <w:pPr>
        <w:pStyle w:val="Corpodetexto"/>
        <w:spacing w:after="0" w:line="240" w:lineRule="auto"/>
        <w:ind w:left="850"/>
        <w:jc w:val="both"/>
        <w:rPr>
          <w:rFonts w:ascii="Bookman Old Style" w:hAnsi="Bookman Old Style" w:cs="Noto Serif Light"/>
          <w:i/>
          <w:iCs/>
          <w:color w:val="auto"/>
          <w:szCs w:val="22"/>
        </w:rPr>
      </w:pPr>
    </w:p>
    <w:p w:rsidR="00AD18EA" w:rsidRPr="00CE2156" w:rsidRDefault="00AD18EA" w:rsidP="00CE2156">
      <w:pPr>
        <w:pStyle w:val="Corpodetexto"/>
        <w:spacing w:after="0" w:line="240" w:lineRule="auto"/>
        <w:ind w:left="850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i/>
          <w:iCs/>
          <w:color w:val="auto"/>
          <w:szCs w:val="22"/>
        </w:rPr>
        <w:lastRenderedPageBreak/>
        <w:t>III No âmbito da União, aos 62 (sessenta e dois) anos de idade, se mulher, e aos 65 (sessenta e cinco) anos de idade, se homem e, no âmbito dos Estados, do Distrito Federal e dos Municípios, na idade mínima estabelecida mediante emenda às respectivas Constituições e Leis Orgânicas, observados o tempo de contribuição e os demais requisitos estabelecidos em lei complementar do respectivo ente federativo.”</w:t>
      </w:r>
    </w:p>
    <w:p w:rsidR="00AD18EA" w:rsidRPr="00CE2156" w:rsidRDefault="00AD18EA" w:rsidP="00CE2156">
      <w:pPr>
        <w:pStyle w:val="Corpodetexto"/>
        <w:spacing w:after="0" w:line="240" w:lineRule="auto"/>
        <w:ind w:left="850"/>
        <w:jc w:val="both"/>
        <w:rPr>
          <w:rFonts w:ascii="Bookman Old Style" w:hAnsi="Bookman Old Style"/>
          <w:szCs w:val="22"/>
        </w:rPr>
      </w:pPr>
    </w:p>
    <w:p w:rsidR="00AD18EA" w:rsidRPr="00CE2156" w:rsidRDefault="00AD18EA" w:rsidP="00C623BF">
      <w:pPr>
        <w:ind w:firstLine="851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color w:val="000000"/>
          <w:szCs w:val="22"/>
        </w:rPr>
        <w:t>Reitera-se que aos atuais servidores foram integralmente preservados os mesmos critérios até então adotados.</w:t>
      </w:r>
    </w:p>
    <w:p w:rsidR="00AD18EA" w:rsidRPr="00CE2156" w:rsidRDefault="00AD18EA" w:rsidP="00C623BF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</w:p>
    <w:p w:rsidR="00AD18EA" w:rsidRPr="00CE2156" w:rsidRDefault="00AD18EA" w:rsidP="00C623BF">
      <w:pPr>
        <w:ind w:firstLine="851"/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color w:val="000000"/>
          <w:szCs w:val="22"/>
        </w:rPr>
        <w:t>Os demais requisitos de aposentadoria e pensão, nos moldes do que estabelece a Carta Magna, como acima visto, estão con</w:t>
      </w:r>
      <w:r w:rsidR="00C623BF">
        <w:rPr>
          <w:rFonts w:ascii="Bookman Old Style" w:hAnsi="Bookman Old Style" w:cs="Noto Serif Light"/>
          <w:color w:val="000000"/>
          <w:szCs w:val="22"/>
        </w:rPr>
        <w:t>templados em Lei Complementar.</w:t>
      </w:r>
    </w:p>
    <w:p w:rsidR="00AD18EA" w:rsidRPr="00CE2156" w:rsidRDefault="00AD18EA" w:rsidP="00C623BF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</w:p>
    <w:p w:rsidR="003B50A2" w:rsidRDefault="00AD18EA" w:rsidP="003B50A2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  <w:r w:rsidRPr="00CE2156">
        <w:rPr>
          <w:rFonts w:ascii="Bookman Old Style" w:hAnsi="Bookman Old Style" w:cs="Noto Serif Light"/>
          <w:color w:val="000000"/>
          <w:szCs w:val="22"/>
        </w:rPr>
        <w:t xml:space="preserve">A majoração da idade aos novos ingressantes no serviço público se deve </w:t>
      </w:r>
      <w:r w:rsidR="008C4C20">
        <w:rPr>
          <w:rFonts w:ascii="Bookman Old Style" w:hAnsi="Bookman Old Style" w:cs="Noto Serif Light"/>
          <w:color w:val="000000"/>
          <w:szCs w:val="22"/>
        </w:rPr>
        <w:t xml:space="preserve">à </w:t>
      </w:r>
      <w:r w:rsidRPr="00CE2156">
        <w:rPr>
          <w:rFonts w:ascii="Bookman Old Style" w:hAnsi="Bookman Old Style" w:cs="Noto Serif Light"/>
          <w:color w:val="000000"/>
          <w:szCs w:val="22"/>
        </w:rPr>
        <w:t>ne</w:t>
      </w:r>
      <w:r w:rsidR="00CE2156">
        <w:rPr>
          <w:rFonts w:ascii="Bookman Old Style" w:hAnsi="Bookman Old Style" w:cs="Noto Serif Light"/>
          <w:color w:val="000000"/>
          <w:szCs w:val="22"/>
        </w:rPr>
        <w:t>cessidade de diminuir o dé</w:t>
      </w:r>
      <w:r w:rsidRPr="00CE2156">
        <w:rPr>
          <w:rFonts w:ascii="Bookman Old Style" w:hAnsi="Bookman Old Style" w:cs="Noto Serif Light"/>
          <w:color w:val="000000"/>
          <w:szCs w:val="22"/>
        </w:rPr>
        <w:t>ficit atuarial que corresponde atualmente em torno de R$ 144.358.177,25 (cento e quarenta e quatro milhões, cento e setenta e sete reais e vinte e cinco centavos) circunstância que onera o erário.</w:t>
      </w:r>
    </w:p>
    <w:p w:rsidR="003B50A2" w:rsidRDefault="003B50A2" w:rsidP="003B50A2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</w:p>
    <w:p w:rsidR="003B50A2" w:rsidRPr="003B50A2" w:rsidRDefault="003B50A2" w:rsidP="003B50A2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  <w:r>
        <w:rPr>
          <w:rFonts w:ascii="Bookman Old Style" w:hAnsi="Bookman Old Style" w:cs="Souvenir Lt BT"/>
          <w:sz w:val="24"/>
          <w:szCs w:val="24"/>
        </w:rPr>
        <w:t>Certo</w:t>
      </w:r>
      <w:r>
        <w:rPr>
          <w:rFonts w:ascii="Bookman Old Style" w:hAnsi="Bookman Old Style" w:cs="Souvenir Lt BT"/>
          <w:sz w:val="24"/>
          <w:szCs w:val="24"/>
        </w:rPr>
        <w:t>s</w:t>
      </w:r>
      <w:r>
        <w:rPr>
          <w:rFonts w:ascii="Bookman Old Style" w:hAnsi="Bookman Old Style" w:cs="Souvenir Lt BT"/>
          <w:sz w:val="24"/>
          <w:szCs w:val="24"/>
        </w:rPr>
        <w:t xml:space="preserve"> do acolhimento dos demais pares desta Casa de Leis reiter</w:t>
      </w:r>
      <w:r>
        <w:rPr>
          <w:rFonts w:ascii="Bookman Old Style" w:hAnsi="Bookman Old Style" w:cs="Souvenir Lt BT"/>
          <w:sz w:val="24"/>
          <w:szCs w:val="24"/>
        </w:rPr>
        <w:t>amos</w:t>
      </w:r>
      <w:r>
        <w:rPr>
          <w:rFonts w:ascii="Bookman Old Style" w:hAnsi="Bookman Old Style" w:cs="Souvenir Lt BT"/>
          <w:sz w:val="24"/>
          <w:szCs w:val="24"/>
        </w:rPr>
        <w:t xml:space="preserve"> votos de apreço e consideração</w:t>
      </w:r>
      <w:r w:rsidRPr="00AE6DC8">
        <w:rPr>
          <w:rFonts w:ascii="Bookman Old Style" w:hAnsi="Bookman Old Style" w:cs="Souvenir Lt BT"/>
          <w:bCs/>
          <w:sz w:val="24"/>
          <w:szCs w:val="24"/>
        </w:rPr>
        <w:t>.</w:t>
      </w:r>
      <w:r>
        <w:rPr>
          <w:rFonts w:ascii="Bookman Old Style" w:hAnsi="Bookman Old Style" w:cs="Souvenir Lt BT"/>
          <w:b/>
          <w:bCs/>
          <w:sz w:val="24"/>
          <w:szCs w:val="24"/>
        </w:rPr>
        <w:t xml:space="preserve"> </w:t>
      </w:r>
    </w:p>
    <w:p w:rsidR="009E62B7" w:rsidRDefault="009E62B7" w:rsidP="00C623BF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</w:p>
    <w:p w:rsidR="009E62B7" w:rsidRDefault="009E62B7" w:rsidP="00C623BF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</w:p>
    <w:p w:rsidR="009E62B7" w:rsidRDefault="009E62B7" w:rsidP="00C623BF">
      <w:pPr>
        <w:ind w:firstLine="851"/>
        <w:jc w:val="both"/>
        <w:rPr>
          <w:rFonts w:ascii="Bookman Old Style" w:hAnsi="Bookman Old Style" w:cs="Noto Serif Light"/>
          <w:color w:val="000000"/>
          <w:szCs w:val="22"/>
        </w:rPr>
      </w:pPr>
    </w:p>
    <w:p w:rsidR="009E62B7" w:rsidRDefault="009E62B7" w:rsidP="009E62B7">
      <w:pPr>
        <w:jc w:val="both"/>
        <w:rPr>
          <w:rFonts w:ascii="Bookman Old Style" w:hAnsi="Bookman Old Style" w:cs="Bookman Old Style"/>
          <w:b/>
          <w:szCs w:val="22"/>
          <w:lang w:eastAsia="zh-CN"/>
        </w:rPr>
      </w:pPr>
      <w:r>
        <w:rPr>
          <w:rFonts w:ascii="Bookman Old Style" w:hAnsi="Bookman Old Style" w:cs="Bookman Old Style"/>
          <w:b/>
          <w:szCs w:val="22"/>
          <w:lang w:eastAsia="zh-CN"/>
        </w:rPr>
        <w:t>D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ARLEI LUIS KAUFMANN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EDERSON ARANTES BUENO</w:t>
      </w:r>
    </w:p>
    <w:p w:rsidR="009E62B7" w:rsidRPr="00A561C1" w:rsidRDefault="009E62B7" w:rsidP="009E62B7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PSB</w:t>
      </w:r>
      <w:r w:rsidRPr="00A561C1"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MDB</w:t>
      </w:r>
    </w:p>
    <w:p w:rsidR="009E62B7" w:rsidRDefault="009E62B7" w:rsidP="009E62B7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9E62B7" w:rsidRDefault="009E62B7" w:rsidP="009E62B7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9E62B7" w:rsidRDefault="009E62B7" w:rsidP="009E62B7">
      <w:pPr>
        <w:rPr>
          <w:rFonts w:ascii="Bookman Old Style" w:hAnsi="Bookman Old Style" w:cs="Bookman Old Style"/>
          <w:b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ELONY EDGAR NYLAND   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PAULO CEZAR GEHRKE       </w:t>
      </w:r>
    </w:p>
    <w:p w:rsidR="009E62B7" w:rsidRDefault="009E62B7" w:rsidP="009E62B7">
      <w:pPr>
        <w:rPr>
          <w:rFonts w:ascii="Bookman Old Style" w:hAnsi="Bookman Old Style" w:cs="Bookman Old Style"/>
          <w:b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VEREADOR DO </w:t>
      </w:r>
      <w:r>
        <w:rPr>
          <w:rFonts w:ascii="Bookman Old Style" w:hAnsi="Bookman Old Style" w:cs="Bookman Old Style"/>
          <w:b/>
          <w:szCs w:val="22"/>
          <w:lang w:eastAsia="zh-CN"/>
        </w:rPr>
        <w:t>MDB</w:t>
      </w:r>
      <w:r w:rsidRPr="00A561C1"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PP</w:t>
      </w:r>
    </w:p>
    <w:p w:rsidR="009E62B7" w:rsidRDefault="009E62B7" w:rsidP="009E62B7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9E62B7" w:rsidRDefault="009E62B7" w:rsidP="009E62B7">
      <w:pPr>
        <w:rPr>
          <w:rFonts w:ascii="Bookman Old Style" w:hAnsi="Bookman Old Style" w:cs="Bookman Old Style"/>
          <w:b/>
          <w:szCs w:val="22"/>
          <w:lang w:eastAsia="zh-CN"/>
        </w:rPr>
      </w:pPr>
    </w:p>
    <w:p w:rsidR="009E62B7" w:rsidRPr="00AE4C87" w:rsidRDefault="009E62B7" w:rsidP="009E62B7">
      <w:pPr>
        <w:rPr>
          <w:rFonts w:ascii="Bookman Old Style" w:hAnsi="Bookman Old Style" w:cs="Bookman Old Style"/>
          <w:b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RAMON ARNOLD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SÉRGIO KROETZ</w:t>
      </w:r>
    </w:p>
    <w:p w:rsidR="009E62B7" w:rsidRPr="00AE4C87" w:rsidRDefault="009E62B7" w:rsidP="009E62B7">
      <w:pPr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VEREADOR DO </w:t>
      </w:r>
      <w:r>
        <w:rPr>
          <w:rFonts w:ascii="Bookman Old Style" w:hAnsi="Bookman Old Style" w:cs="Bookman Old Style"/>
          <w:b/>
          <w:szCs w:val="22"/>
          <w:lang w:eastAsia="zh-CN"/>
        </w:rPr>
        <w:t>PP</w:t>
      </w:r>
      <w:r w:rsidRPr="00A561C1"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PP</w:t>
      </w:r>
    </w:p>
    <w:p w:rsidR="009E62B7" w:rsidRPr="00AE4C87" w:rsidRDefault="009E62B7" w:rsidP="009E62B7">
      <w:pPr>
        <w:jc w:val="both"/>
        <w:rPr>
          <w:rFonts w:cs="Bookman Old Style"/>
          <w:b/>
          <w:szCs w:val="22"/>
          <w:lang w:eastAsia="zh-CN"/>
        </w:rPr>
      </w:pPr>
    </w:p>
    <w:p w:rsidR="009E62B7" w:rsidRPr="00AE4C87" w:rsidRDefault="009E62B7" w:rsidP="009E62B7">
      <w:pPr>
        <w:jc w:val="both"/>
        <w:rPr>
          <w:rFonts w:ascii="Bookman Old Style" w:hAnsi="Bookman Old Style" w:cs="Bookman Old Style"/>
          <w:b/>
          <w:szCs w:val="22"/>
          <w:lang w:eastAsia="zh-CN"/>
        </w:rPr>
      </w:pPr>
    </w:p>
    <w:p w:rsidR="009E62B7" w:rsidRPr="00AE4C87" w:rsidRDefault="009E62B7" w:rsidP="009E62B7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CELINA TEIXEIRA CHRISTOVÃO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 xml:space="preserve">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PAULINO ADALBERTO RENZ</w:t>
      </w:r>
      <w:r>
        <w:rPr>
          <w:rFonts w:ascii="Bookman Old Style" w:hAnsi="Bookman Old Style" w:cs="Bookman Old Style"/>
          <w:b/>
          <w:szCs w:val="22"/>
          <w:lang w:eastAsia="zh-CN"/>
        </w:rPr>
        <w:t xml:space="preserve">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VEREADORA DO MDB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 DO PDT</w:t>
      </w:r>
    </w:p>
    <w:p w:rsidR="009E62B7" w:rsidRPr="00AE4C87" w:rsidRDefault="009E62B7" w:rsidP="009E62B7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 xml:space="preserve">       </w:t>
      </w:r>
      <w:r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</w:p>
    <w:p w:rsidR="009E62B7" w:rsidRPr="00AE4C87" w:rsidRDefault="009E62B7" w:rsidP="009E62B7">
      <w:pPr>
        <w:jc w:val="both"/>
        <w:rPr>
          <w:rFonts w:ascii="Bookman Old Style" w:hAnsi="Bookman Old Style"/>
          <w:szCs w:val="22"/>
          <w:lang w:eastAsia="zh-CN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SHEILA DA SILVA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   </w:t>
      </w:r>
      <w:r w:rsidRPr="00AE4C87">
        <w:rPr>
          <w:rFonts w:ascii="Bookman Old Style" w:hAnsi="Bookman Old Style" w:cs="Bookman Old Style"/>
          <w:b/>
          <w:szCs w:val="22"/>
          <w:lang w:eastAsia="zh-CN"/>
        </w:rPr>
        <w:tab/>
        <w:t xml:space="preserve">            </w:t>
      </w:r>
    </w:p>
    <w:p w:rsidR="009E62B7" w:rsidRPr="00AE4C87" w:rsidRDefault="009E62B7" w:rsidP="009E62B7">
      <w:pPr>
        <w:tabs>
          <w:tab w:val="left" w:pos="1134"/>
          <w:tab w:val="left" w:pos="4111"/>
        </w:tabs>
        <w:spacing w:line="288" w:lineRule="auto"/>
        <w:jc w:val="both"/>
        <w:rPr>
          <w:rFonts w:ascii="Bookman Old Style" w:hAnsi="Bookman Old Style" w:cs="Souvenir Lt BT"/>
          <w:szCs w:val="22"/>
        </w:rPr>
      </w:pPr>
      <w:r w:rsidRPr="00AE4C87">
        <w:rPr>
          <w:rFonts w:ascii="Bookman Old Style" w:hAnsi="Bookman Old Style" w:cs="Bookman Old Style"/>
          <w:b/>
          <w:szCs w:val="22"/>
          <w:lang w:eastAsia="zh-CN"/>
        </w:rPr>
        <w:t>VEREADORA DO PT</w:t>
      </w:r>
    </w:p>
    <w:p w:rsidR="00AD18EA" w:rsidRPr="00CE2156" w:rsidRDefault="00AD18EA" w:rsidP="00CE2156">
      <w:pPr>
        <w:jc w:val="both"/>
        <w:rPr>
          <w:rFonts w:ascii="Bookman Old Style" w:hAnsi="Bookman Old Style" w:cs="Noto Serif Light"/>
          <w:szCs w:val="22"/>
        </w:rPr>
      </w:pPr>
      <w:bookmarkStart w:id="0" w:name="_GoBack"/>
      <w:bookmarkEnd w:id="0"/>
    </w:p>
    <w:p w:rsidR="00AD18EA" w:rsidRPr="00CE2156" w:rsidRDefault="00AD18EA" w:rsidP="00CE2156">
      <w:pPr>
        <w:jc w:val="both"/>
        <w:rPr>
          <w:rFonts w:ascii="Bookman Old Style" w:hAnsi="Bookman Old Style"/>
          <w:szCs w:val="22"/>
        </w:rPr>
      </w:pPr>
      <w:r w:rsidRPr="00CE2156">
        <w:rPr>
          <w:rFonts w:ascii="Bookman Old Style" w:hAnsi="Bookman Old Style" w:cs="Noto Serif Light"/>
          <w:szCs w:val="22"/>
        </w:rPr>
        <w:tab/>
        <w:t xml:space="preserve"> </w:t>
      </w:r>
    </w:p>
    <w:p w:rsidR="00AD18EA" w:rsidRPr="00CE2156" w:rsidRDefault="00AD18EA" w:rsidP="00CE2156">
      <w:pPr>
        <w:jc w:val="both"/>
        <w:rPr>
          <w:rFonts w:ascii="Bookman Old Style" w:eastAsia="Noto Serif" w:hAnsi="Bookman Old Style" w:cs="Noto Serif Light"/>
          <w:szCs w:val="22"/>
        </w:rPr>
      </w:pPr>
    </w:p>
    <w:tbl>
      <w:tblPr>
        <w:tblW w:w="963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9"/>
        <w:gridCol w:w="5150"/>
      </w:tblGrid>
      <w:tr w:rsidR="00AD18EA" w:rsidRPr="00CE2156" w:rsidTr="00C623BF">
        <w:tc>
          <w:tcPr>
            <w:tcW w:w="4489" w:type="dxa"/>
            <w:shd w:val="clear" w:color="auto" w:fill="auto"/>
          </w:tcPr>
          <w:p w:rsidR="00AD18EA" w:rsidRPr="00CE2156" w:rsidRDefault="00AD18EA" w:rsidP="00CE2156">
            <w:pPr>
              <w:widowControl w:val="0"/>
              <w:snapToGrid w:val="0"/>
              <w:jc w:val="both"/>
              <w:rPr>
                <w:rFonts w:ascii="Bookman Old Style" w:eastAsia="Noto Serif" w:hAnsi="Bookman Old Style" w:cs="Noto Serif Light"/>
                <w:szCs w:val="22"/>
              </w:rPr>
            </w:pPr>
          </w:p>
        </w:tc>
        <w:tc>
          <w:tcPr>
            <w:tcW w:w="5150" w:type="dxa"/>
            <w:shd w:val="clear" w:color="auto" w:fill="auto"/>
          </w:tcPr>
          <w:p w:rsidR="00AD18EA" w:rsidRPr="00CE2156" w:rsidRDefault="00AD18EA" w:rsidP="00CE2156">
            <w:pPr>
              <w:widowControl w:val="0"/>
              <w:jc w:val="right"/>
              <w:rPr>
                <w:rFonts w:ascii="Bookman Old Style" w:hAnsi="Bookman Old Style"/>
                <w:szCs w:val="22"/>
              </w:rPr>
            </w:pPr>
          </w:p>
        </w:tc>
      </w:tr>
    </w:tbl>
    <w:p w:rsidR="00DF2FCC" w:rsidRPr="00CE2156" w:rsidRDefault="00DF2FCC" w:rsidP="00B34297">
      <w:pPr>
        <w:rPr>
          <w:rFonts w:ascii="Bookman Old Style" w:hAnsi="Bookman Old Style"/>
          <w:szCs w:val="22"/>
        </w:rPr>
      </w:pPr>
    </w:p>
    <w:sectPr w:rsidR="00DF2FCC" w:rsidRPr="00CE2156" w:rsidSect="002D40B0">
      <w:footerReference w:type="default" r:id="rId7"/>
      <w:pgSz w:w="11906" w:h="16838"/>
      <w:pgMar w:top="283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767" w:rsidRDefault="002A2767" w:rsidP="00E334A1">
      <w:r>
        <w:separator/>
      </w:r>
    </w:p>
  </w:endnote>
  <w:endnote w:type="continuationSeparator" w:id="0">
    <w:p w:rsidR="002A2767" w:rsidRDefault="002A2767" w:rsidP="00E33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Noto Serif Light">
    <w:panose1 w:val="02020402060505020204"/>
    <w:charset w:val="00"/>
    <w:family w:val="roman"/>
    <w:pitch w:val="variable"/>
    <w:sig w:usb0="E00002FF" w:usb1="4000001F" w:usb2="08000029" w:usb3="00000000" w:csb0="00000001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Technical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334A1" w:rsidRPr="00E334A1" w:rsidRDefault="00E334A1" w:rsidP="00E334A1">
    <w:pPr>
      <w:tabs>
        <w:tab w:val="center" w:pos="4252"/>
        <w:tab w:val="right" w:pos="8504"/>
      </w:tabs>
      <w:suppressAutoHyphens w:val="0"/>
      <w:jc w:val="center"/>
      <w:rPr>
        <w:rFonts w:ascii="Technical" w:eastAsiaTheme="minorHAnsi" w:hAnsi="Technical" w:cs="Technical"/>
        <w:b/>
        <w:bCs/>
        <w:color w:val="000080"/>
        <w:szCs w:val="22"/>
      </w:rPr>
    </w:pPr>
    <w:r w:rsidRPr="00E334A1">
      <w:rPr>
        <w:rFonts w:ascii="Technical" w:eastAsiaTheme="minorHAnsi" w:hAnsi="Technical" w:cs="Technical"/>
        <w:b/>
        <w:bCs/>
        <w:color w:val="000080"/>
        <w:szCs w:val="22"/>
      </w:rPr>
      <w:t xml:space="preserve">“DOE SANGUE, DOE ÓRGÃOS, </w:t>
    </w:r>
    <w:r w:rsidRPr="00E334A1">
      <w:rPr>
        <w:rFonts w:ascii="Technical" w:eastAsiaTheme="minorHAnsi" w:hAnsi="Technical" w:cs="Technical"/>
        <w:b/>
        <w:bCs/>
        <w:i/>
        <w:iCs/>
        <w:color w:val="000080"/>
        <w:szCs w:val="22"/>
      </w:rPr>
      <w:t>SALVE UMA VIDA</w:t>
    </w:r>
    <w:r w:rsidRPr="00E334A1">
      <w:rPr>
        <w:rFonts w:ascii="Technical" w:eastAsiaTheme="minorHAnsi" w:hAnsi="Technical" w:cs="Technical"/>
        <w:b/>
        <w:bCs/>
        <w:color w:val="000080"/>
        <w:szCs w:val="22"/>
      </w:rPr>
      <w:t>”</w:t>
    </w:r>
  </w:p>
  <w:p w:rsidR="00E334A1" w:rsidRPr="00E334A1" w:rsidRDefault="00E334A1" w:rsidP="00E334A1">
    <w:pPr>
      <w:tabs>
        <w:tab w:val="center" w:pos="4252"/>
        <w:tab w:val="right" w:pos="8504"/>
      </w:tabs>
      <w:suppressAutoHyphens w:val="0"/>
      <w:jc w:val="center"/>
      <w:rPr>
        <w:rFonts w:asciiTheme="minorHAnsi" w:eastAsiaTheme="minorHAnsi" w:hAnsiTheme="minorHAnsi" w:cstheme="minorBidi"/>
        <w:color w:val="auto"/>
        <w:szCs w:val="22"/>
      </w:rPr>
    </w:pPr>
    <w:r w:rsidRPr="00E334A1">
      <w:rPr>
        <w:rFonts w:asciiTheme="minorHAnsi" w:eastAsiaTheme="minorHAnsi" w:hAnsiTheme="minorHAnsi" w:cstheme="minorBidi"/>
        <w:color w:val="auto"/>
        <w:szCs w:val="22"/>
      </w:rPr>
      <w:t>Rua São Leopoldo, 1.231, bairro Primavera, Caixa Postal 100 – Tel./fax: (51) 35641905</w:t>
    </w:r>
  </w:p>
  <w:p w:rsidR="00E334A1" w:rsidRPr="00E334A1" w:rsidRDefault="00E334A1" w:rsidP="00E334A1">
    <w:pPr>
      <w:tabs>
        <w:tab w:val="center" w:pos="4252"/>
        <w:tab w:val="right" w:pos="8504"/>
      </w:tabs>
      <w:suppressAutoHyphens w:val="0"/>
      <w:jc w:val="center"/>
      <w:rPr>
        <w:rFonts w:asciiTheme="minorHAnsi" w:eastAsiaTheme="minorHAnsi" w:hAnsiTheme="minorHAnsi" w:cstheme="minorBidi"/>
        <w:color w:val="auto"/>
        <w:szCs w:val="22"/>
      </w:rPr>
    </w:pPr>
    <w:r w:rsidRPr="00E334A1">
      <w:rPr>
        <w:rFonts w:asciiTheme="minorHAnsi" w:eastAsiaTheme="minorHAnsi" w:hAnsiTheme="minorHAnsi" w:cstheme="minorBidi"/>
        <w:color w:val="auto"/>
        <w:szCs w:val="22"/>
      </w:rPr>
      <w:t>CEP: 93.950-000 DOIS IRMÃOS – RS – E-mail diretoria@doisirmaos.rs.leg.br</w:t>
    </w:r>
  </w:p>
  <w:p w:rsidR="00E334A1" w:rsidRDefault="00E334A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767" w:rsidRDefault="002A2767" w:rsidP="00E334A1">
      <w:r>
        <w:separator/>
      </w:r>
    </w:p>
  </w:footnote>
  <w:footnote w:type="continuationSeparator" w:id="0">
    <w:p w:rsidR="002A2767" w:rsidRDefault="002A2767" w:rsidP="00E33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8EA"/>
    <w:rsid w:val="002A2767"/>
    <w:rsid w:val="002D40B0"/>
    <w:rsid w:val="003B50A2"/>
    <w:rsid w:val="008C4C20"/>
    <w:rsid w:val="009E62B7"/>
    <w:rsid w:val="00A02138"/>
    <w:rsid w:val="00AD18EA"/>
    <w:rsid w:val="00B34297"/>
    <w:rsid w:val="00B35612"/>
    <w:rsid w:val="00C623BF"/>
    <w:rsid w:val="00CE2156"/>
    <w:rsid w:val="00D433BA"/>
    <w:rsid w:val="00DF2FCC"/>
    <w:rsid w:val="00E33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B8476C-E8C7-461E-B354-684B00227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18EA"/>
    <w:pPr>
      <w:suppressAutoHyphens/>
      <w:spacing w:after="0" w:line="240" w:lineRule="auto"/>
    </w:pPr>
    <w:rPr>
      <w:rFonts w:ascii="Arial" w:eastAsia="Times New Roman" w:hAnsi="Arial" w:cs="Times New Roman"/>
      <w:color w:val="00000A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AD18EA"/>
    <w:rPr>
      <w:color w:val="000080"/>
      <w:u w:val="single"/>
    </w:rPr>
  </w:style>
  <w:style w:type="character" w:customStyle="1" w:styleId="Absatz-Standardschriftart">
    <w:name w:val="Absatz-Standardschriftart"/>
    <w:rsid w:val="00AD18EA"/>
  </w:style>
  <w:style w:type="paragraph" w:styleId="Corpodetexto">
    <w:name w:val="Body Text"/>
    <w:basedOn w:val="Normal"/>
    <w:link w:val="CorpodetextoChar"/>
    <w:rsid w:val="00AD18EA"/>
    <w:pPr>
      <w:spacing w:after="140" w:line="276" w:lineRule="auto"/>
    </w:pPr>
  </w:style>
  <w:style w:type="character" w:customStyle="1" w:styleId="CorpodetextoChar">
    <w:name w:val="Corpo de texto Char"/>
    <w:basedOn w:val="Fontepargpadro"/>
    <w:link w:val="Corpodetexto"/>
    <w:rsid w:val="00AD18EA"/>
    <w:rPr>
      <w:rFonts w:ascii="Arial" w:eastAsia="Times New Roman" w:hAnsi="Arial" w:cs="Times New Roman"/>
      <w:color w:val="00000A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E334A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334A1"/>
    <w:rPr>
      <w:rFonts w:ascii="Arial" w:eastAsia="Times New Roman" w:hAnsi="Arial" w:cs="Times New Roman"/>
      <w:color w:val="00000A"/>
      <w:szCs w:val="20"/>
    </w:rPr>
  </w:style>
  <w:style w:type="paragraph" w:styleId="Rodap">
    <w:name w:val="footer"/>
    <w:basedOn w:val="Normal"/>
    <w:link w:val="RodapChar"/>
    <w:uiPriority w:val="99"/>
    <w:unhideWhenUsed/>
    <w:rsid w:val="00E334A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334A1"/>
    <w:rPr>
      <w:rFonts w:ascii="Arial" w:eastAsia="Times New Roman" w:hAnsi="Arial" w:cs="Times New Roman"/>
      <w:color w:val="00000A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lanalto.gov.br/ccivil_03/constituicao/Constituicao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4</Pages>
  <Words>1153</Words>
  <Characters>6227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maciel</dc:creator>
  <cp:keywords/>
  <dc:description/>
  <cp:lastModifiedBy>maciel</cp:lastModifiedBy>
  <cp:revision>3</cp:revision>
  <dcterms:created xsi:type="dcterms:W3CDTF">2022-09-14T13:58:00Z</dcterms:created>
  <dcterms:modified xsi:type="dcterms:W3CDTF">2022-09-15T13:29:00Z</dcterms:modified>
</cp:coreProperties>
</file>