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spacing w:lineRule="auto" w:line="480" w:before="0" w:after="0"/>
        <w:jc w:val="center"/>
        <w:rPr>
          <w:rFonts w:ascii="Noto Serif Light" w:hAnsi="Noto Serif Light"/>
          <w:sz w:val="22"/>
          <w:szCs w:val="22"/>
        </w:rPr>
      </w:pPr>
      <w:r>
        <w:rPr>
          <w:rFonts w:cs="Arial" w:ascii="Noto Serif Light" w:hAnsi="Noto Serif Light"/>
          <w:b/>
          <w:i w:val="false"/>
          <w:caps w:val="false"/>
          <w:smallCaps w:val="false"/>
          <w:color w:val="000000"/>
          <w:spacing w:val="0"/>
          <w:sz w:val="22"/>
          <w:szCs w:val="22"/>
        </w:rPr>
        <w:t>PROJETO DE LEI Nº 139/2022</w:t>
      </w:r>
    </w:p>
    <w:p>
      <w:pPr>
        <w:pStyle w:val="Corpodotexto"/>
        <w:widowControl/>
        <w:bidi w:val="0"/>
        <w:spacing w:lineRule="auto" w:line="240" w:before="0" w:after="0"/>
        <w:ind w:left="2835" w:right="0" w:hanging="0"/>
        <w:jc w:val="both"/>
        <w:rPr>
          <w:rFonts w:ascii="Noto Serif Light" w:hAnsi="Noto Serif Light" w:cs="Arial"/>
          <w:b/>
          <w:b/>
          <w:bCs/>
          <w:i w:val="false"/>
          <w:i w:val="false"/>
          <w:caps w:val="false"/>
          <w:smallCaps w:val="false"/>
          <w:color w:val="000000"/>
          <w:spacing w:val="0"/>
          <w:sz w:val="22"/>
          <w:szCs w:val="22"/>
        </w:rPr>
      </w:pPr>
      <w:r>
        <w:rPr>
          <w:rFonts w:cs="Arial" w:ascii="Noto Serif Light" w:hAnsi="Noto Serif Light"/>
          <w:b/>
          <w:bCs/>
          <w:i w:val="false"/>
          <w:caps w:val="false"/>
          <w:smallCaps w:val="false"/>
          <w:color w:val="000000"/>
          <w:spacing w:val="0"/>
          <w:sz w:val="22"/>
          <w:szCs w:val="22"/>
        </w:rPr>
      </w:r>
    </w:p>
    <w:p>
      <w:pPr>
        <w:pStyle w:val="Corpodotexto"/>
        <w:widowControl/>
        <w:bidi w:val="0"/>
        <w:spacing w:lineRule="auto" w:line="360" w:before="0" w:after="0"/>
        <w:ind w:left="2835" w:right="0" w:hanging="0"/>
        <w:jc w:val="both"/>
        <w:rPr>
          <w:rFonts w:ascii="Noto Serif Light" w:hAnsi="Noto Serif Light"/>
          <w:sz w:val="22"/>
          <w:szCs w:val="22"/>
        </w:rPr>
      </w:pPr>
      <w:r>
        <w:rPr>
          <w:rFonts w:cs="Arial" w:ascii="Noto Serif Light" w:hAnsi="Noto Serif Light"/>
          <w:b/>
          <w:bCs/>
          <w:i w:val="false"/>
          <w:caps w:val="false"/>
          <w:smallCaps w:val="false"/>
          <w:color w:val="000000"/>
          <w:spacing w:val="0"/>
          <w:sz w:val="22"/>
          <w:szCs w:val="22"/>
        </w:rPr>
        <w:t>“</w:t>
      </w:r>
      <w:r>
        <w:rPr>
          <w:rFonts w:cs="Arial" w:ascii="Noto Serif Light" w:hAnsi="Noto Serif Light"/>
          <w:b/>
          <w:bCs/>
          <w:i w:val="false"/>
          <w:caps w:val="false"/>
          <w:smallCaps w:val="false"/>
          <w:color w:val="000000"/>
          <w:spacing w:val="0"/>
          <w:sz w:val="22"/>
          <w:szCs w:val="22"/>
        </w:rPr>
        <w:t>ALTERA O ART.101-G E ITEM 7, DA TABELA  II E IV, DA TABELA III, DA LEI Nº4.535, DE 26 DE DEZEMBRO DE 2017, E DÁ OUTRAS PROVIDÊNCIAS."</w:t>
      </w:r>
    </w:p>
    <w:p>
      <w:pPr>
        <w:pStyle w:val="Corpodotexto"/>
        <w:widowControl/>
        <w:ind w:left="0" w:right="0" w:hanging="0"/>
        <w:rPr>
          <w:b w:val="false"/>
          <w:b w:val="false"/>
          <w:i w:val="false"/>
          <w:i w:val="false"/>
          <w:caps w:val="false"/>
          <w:smallCaps w:val="false"/>
          <w:color w:val="000000"/>
          <w:spacing w:val="0"/>
        </w:rPr>
      </w:pPr>
      <w:r>
        <w:rPr>
          <w:b w:val="false"/>
          <w:i w:val="false"/>
          <w:caps w:val="false"/>
          <w:smallCaps w:val="false"/>
          <w:color w:val="000000"/>
          <w:spacing w:val="0"/>
        </w:rPr>
      </w:r>
    </w:p>
    <w:p>
      <w:pPr>
        <w:pStyle w:val="Normal"/>
        <w:spacing w:lineRule="auto" w:line="360"/>
        <w:jc w:val="both"/>
        <w:rPr>
          <w:rFonts w:ascii="Noto Serif Light" w:hAnsi="Noto Serif Light"/>
          <w:sz w:val="22"/>
          <w:szCs w:val="22"/>
        </w:rPr>
      </w:pPr>
      <w:r>
        <w:rPr>
          <w:rFonts w:eastAsia="Noto Serif" w:cs="Noto Serif" w:ascii="Noto Serif Light" w:hAnsi="Noto Serif Light"/>
          <w:b/>
          <w:bCs/>
          <w:sz w:val="22"/>
          <w:szCs w:val="22"/>
        </w:rPr>
        <w:tab/>
        <w:t xml:space="preserve">JERRI ADRIANI MENEGHETTI, </w:t>
      </w:r>
      <w:r>
        <w:rPr>
          <w:rFonts w:eastAsia="Noto Serif" w:cs="Noto Serif" w:ascii="Noto Serif Light" w:hAnsi="Noto Serif Light"/>
          <w:b w:val="false"/>
          <w:bCs w:val="false"/>
          <w:sz w:val="22"/>
          <w:szCs w:val="22"/>
        </w:rPr>
        <w:t>Prefeito Municipal de Dois Irmãos, RS, no uso das atribuições que lhe são conferidas por Lei Orgânica do Município, faço saber que a Câmara Municipal aprova e eu sanciono a seguinte:</w:t>
      </w:r>
    </w:p>
    <w:p>
      <w:pPr>
        <w:pStyle w:val="Normal"/>
        <w:spacing w:lineRule="auto" w:line="360"/>
        <w:jc w:val="both"/>
        <w:rPr>
          <w:rFonts w:ascii="Noto Serif Light" w:hAnsi="Noto Serif Light"/>
          <w:sz w:val="22"/>
          <w:szCs w:val="22"/>
        </w:rPr>
      </w:pPr>
      <w:r>
        <w:rPr>
          <w:rFonts w:cs="Noto Serif" w:ascii="Noto Serif Light" w:hAnsi="Noto Serif Light"/>
          <w:b/>
          <w:bCs/>
          <w:sz w:val="22"/>
          <w:szCs w:val="22"/>
        </w:rPr>
        <w:tab/>
        <w:tab/>
        <w:tab/>
        <w:tab/>
        <w:tab/>
        <w:tab/>
        <w:tab/>
        <w:t>L E I</w:t>
      </w:r>
    </w:p>
    <w:p>
      <w:pPr>
        <w:pStyle w:val="Corpodotexto"/>
        <w:spacing w:lineRule="auto" w:line="312"/>
        <w:ind w:left="0" w:right="98" w:hanging="0"/>
        <w:jc w:val="both"/>
        <w:rPr>
          <w:rFonts w:ascii="Noto Serif Light" w:hAnsi="Noto Serif Light"/>
          <w:sz w:val="22"/>
          <w:szCs w:val="22"/>
        </w:rPr>
      </w:pPr>
      <w:r>
        <w:rPr>
          <w:rFonts w:ascii="Noto Serif Light" w:hAnsi="Noto Serif Light"/>
          <w:sz w:val="22"/>
          <w:szCs w:val="22"/>
        </w:rPr>
        <w:tab/>
      </w:r>
      <w:r>
        <w:rPr>
          <w:rFonts w:cs="Arial" w:ascii="Noto Serif Light" w:hAnsi="Noto Serif Light"/>
          <w:b/>
          <w:bCs/>
          <w:sz w:val="22"/>
          <w:szCs w:val="22"/>
        </w:rPr>
        <w:t>Art. 1º</w:t>
      </w:r>
      <w:r>
        <w:rPr>
          <w:rFonts w:cs="Arial" w:ascii="Noto Serif Light" w:hAnsi="Noto Serif Light"/>
          <w:sz w:val="22"/>
          <w:szCs w:val="22"/>
        </w:rPr>
        <w:t xml:space="preserve"> O artigo 101-G da Lei Municipal nº </w:t>
      </w:r>
      <w:bookmarkStart w:id="0" w:name="__DdeLink__881_3623752109"/>
      <w:r>
        <w:rPr>
          <w:rFonts w:cs="Arial" w:ascii="Noto Serif Light" w:hAnsi="Noto Serif Light"/>
          <w:sz w:val="22"/>
          <w:szCs w:val="22"/>
        </w:rPr>
        <w:t>4.535, de 26 de dezembro de 20</w:t>
      </w:r>
      <w:bookmarkEnd w:id="0"/>
      <w:r>
        <w:rPr>
          <w:rFonts w:cs="Arial" w:ascii="Noto Serif Light" w:hAnsi="Noto Serif Light"/>
          <w:sz w:val="22"/>
          <w:szCs w:val="22"/>
        </w:rPr>
        <w:t>17, passa a viger com a seguinte redação:</w:t>
      </w:r>
    </w:p>
    <w:p>
      <w:pPr>
        <w:pStyle w:val="Corpodotexto"/>
        <w:spacing w:lineRule="auto" w:line="312"/>
        <w:ind w:left="0" w:right="98" w:hanging="0"/>
        <w:jc w:val="both"/>
        <w:rPr>
          <w:rFonts w:cs="Arial"/>
        </w:rPr>
      </w:pPr>
      <w:r>
        <w:rPr>
          <w:rFonts w:cs="Arial"/>
        </w:rPr>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color w:val="auto"/>
          <w:sz w:val="22"/>
          <w:szCs w:val="22"/>
        </w:rPr>
        <w:t>“</w:t>
      </w:r>
      <w:r>
        <w:rPr>
          <w:rFonts w:cs="Arial" w:ascii="Noto Serif Light" w:hAnsi="Noto Serif Light"/>
          <w:color w:val="auto"/>
          <w:sz w:val="22"/>
          <w:szCs w:val="22"/>
        </w:rPr>
        <w:t>Art. 101 -G – As t</w:t>
      </w:r>
      <w:r>
        <w:rPr>
          <w:rFonts w:cs="Arial" w:ascii="Noto Serif Light" w:hAnsi="Noto Serif Light"/>
          <w:b w:val="false"/>
          <w:i w:val="false"/>
          <w:caps w:val="false"/>
          <w:smallCaps w:val="false"/>
          <w:color w:val="000000"/>
          <w:spacing w:val="0"/>
          <w:sz w:val="22"/>
          <w:szCs w:val="22"/>
          <w:shd w:fill="auto" w:val="clear"/>
        </w:rPr>
        <w:t>axas sobre obras de responsabilidade do proprietário ou possuidor que executará a obra, é devida em todos os casos de construção, reconstrução, reforma ou demolição de prédio, desarquivamento de processo de análise de projeto para aprovação, revalidação de projeto ou licença, urbanização de lotes particulares, loteamentos, desmembramentos e divisões, nas instalações elétricas e mecânicas ou quaisquer obras, dentro do território do Município, excetuadas as de simples pintura e limpeza de prédios.</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 1º A Taxa refere-se e será cobrada nos seguintes casos:</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I -  alinhamento;</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II – análise de projeto para aprovação;</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III - análise de alteração de projeto;</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IV – revalidação de projeto;</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V – revogado</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VI – revogado</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VII - vistoria de:</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1.  infraestrutura;</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2. sistema hidrossanitário; e,</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 xml:space="preserve"> </w:t>
      </w:r>
      <w:r>
        <w:rPr>
          <w:rFonts w:cs="Arial" w:ascii="Noto Serif Light" w:hAnsi="Noto Serif Light"/>
          <w:b w:val="false"/>
          <w:i w:val="false"/>
          <w:caps w:val="false"/>
          <w:smallCaps w:val="false"/>
          <w:color w:val="000000"/>
          <w:spacing w:val="0"/>
          <w:sz w:val="22"/>
          <w:szCs w:val="22"/>
          <w:shd w:fill="auto" w:val="clear"/>
        </w:rPr>
        <w:t>3. habite-se;</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 xml:space="preserve">VIII – aprovação de parcelamento do solo urbano; e, </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IX - licença para demolição de prédios.</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 2º …</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 3º …</w:t>
      </w:r>
    </w:p>
    <w:p>
      <w:pPr>
        <w:pStyle w:val="Corpodotexto"/>
        <w:spacing w:lineRule="auto" w:line="312"/>
        <w:ind w:left="850" w:right="96" w:hanging="0"/>
        <w:jc w:val="both"/>
        <w:rPr>
          <w:rFonts w:ascii="Noto Serif Light" w:hAnsi="Noto Serif Light"/>
          <w:color w:val="auto"/>
          <w:sz w:val="22"/>
          <w:szCs w:val="22"/>
        </w:rPr>
      </w:pPr>
      <w:r>
        <w:rPr>
          <w:rFonts w:cs="Arial" w:ascii="Noto Serif Light" w:hAnsi="Noto Serif Light"/>
          <w:b w:val="false"/>
          <w:i w:val="false"/>
          <w:caps w:val="false"/>
          <w:smallCaps w:val="false"/>
          <w:color w:val="000000"/>
          <w:spacing w:val="0"/>
          <w:sz w:val="22"/>
          <w:szCs w:val="22"/>
          <w:shd w:fill="auto" w:val="clear"/>
        </w:rPr>
        <w:t>§ 4º ...”</w:t>
      </w:r>
    </w:p>
    <w:p>
      <w:pPr>
        <w:pStyle w:val="Corpodotexto"/>
        <w:spacing w:lineRule="auto" w:line="312"/>
        <w:ind w:left="0" w:right="98" w:hanging="0"/>
        <w:jc w:val="both"/>
        <w:rPr>
          <w:rFonts w:ascii="Noto Serif Light" w:hAnsi="Noto Serif Light"/>
          <w:sz w:val="22"/>
          <w:szCs w:val="22"/>
        </w:rPr>
      </w:pPr>
      <w:r>
        <w:rPr>
          <w:rFonts w:cs="Arial" w:ascii="Noto Serif Light" w:hAnsi="Noto Serif Light"/>
          <w:sz w:val="22"/>
          <w:szCs w:val="22"/>
        </w:rPr>
        <w:tab/>
      </w:r>
      <w:r>
        <w:rPr>
          <w:rFonts w:cs="Arial" w:ascii="Noto Serif Light" w:hAnsi="Noto Serif Light"/>
          <w:b/>
          <w:bCs/>
          <w:sz w:val="22"/>
          <w:szCs w:val="22"/>
        </w:rPr>
        <w:t>Art. 2º</w:t>
      </w:r>
      <w:r>
        <w:rPr>
          <w:rFonts w:ascii="Noto Serif Light" w:hAnsi="Noto Serif Light"/>
          <w:sz w:val="22"/>
          <w:szCs w:val="22"/>
        </w:rPr>
        <w:t xml:space="preserve"> A Tabela II – DAS LICENÇAS, item 7, passa a viger com as seguintes alterações:</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w:t>
      </w:r>
      <w:r>
        <w:rPr>
          <w:rFonts w:ascii="Noto Serif Light" w:hAnsi="Noto Serif Light"/>
          <w:sz w:val="22"/>
          <w:szCs w:val="22"/>
        </w:rPr>
        <w:t>TABELA II – DAS LICENÇAS</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7 – TABELA DE LANÇAMENTO E COBRANÇA DA TAXA DE LICENÇA PARA EXECUÇÃO DE OBRAS OU SERVIÇOS DE ENGENHARIA</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DISCRIMINAÇÃO                                                                                                 BCM</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*Percentuais calculados sobre a BCM</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ANÁLISE DE PROJETOS DE:</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1 - …</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2. Edificações, por m²………………………………………………….....…………...……..…..0,8%</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3. Revalidação de projeto ou licença…..……….………………………………...…...…...6%</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4. Reanálise de Projetos, a partir da terceira análise, por evento ……….…..25%</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5. Análise de Projetos de Regularização por m² ………………………………….....1,6%</w:t>
      </w:r>
    </w:p>
    <w:p>
      <w:pPr>
        <w:pStyle w:val="Corpodotexto"/>
        <w:spacing w:lineRule="auto" w:line="312"/>
        <w:ind w:left="850" w:right="96" w:hanging="0"/>
        <w:jc w:val="both"/>
        <w:rPr>
          <w:rFonts w:ascii="Noto Serif Light" w:hAnsi="Noto Serif Light"/>
          <w:sz w:val="22"/>
          <w:szCs w:val="22"/>
        </w:rPr>
      </w:pPr>
      <w:r>
        <w:rPr>
          <w:rFonts w:ascii="Noto Serif Light" w:hAnsi="Noto Serif Light"/>
          <w:sz w:val="22"/>
          <w:szCs w:val="22"/>
        </w:rPr>
        <w:t>6. Desarquivamento de Processo de análise de Projeto para aprovação, por evento …...….…………………………………………………………………………………………..25%</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7. Análise de alteração de projeto, por m², por pavimento …………………....0,8%</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8. Licença de demolição …………………………………………..……………..…………….....6%</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OUTROS SERVIÇOS DE ENGENHARIA</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2. Alinhamento por terreno………………………….………………………………………….20%</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3. Revogado</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TABELA III – PARA LANÇAMENTO E COBRANÇA DE TAXAS DE SERVIÇOS DIVERSOS</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*Percentuais calculados sobre a BCM</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DISCRIMINAÇÃO                                                                                         % BCM</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EXPEDIENTE POR SERVIÇOS PÚBLICOS</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IV – Vistorias de:</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 xml:space="preserve">1. infraestrutura, por evento, sendo a segunda vistoria isenta………...… </w:t>
      </w:r>
      <w:r>
        <w:rPr>
          <w:rFonts w:ascii="Noto Serif Light" w:hAnsi="Noto Serif Light"/>
          <w:b w:val="false"/>
          <w:bCs w:val="false"/>
          <w:sz w:val="22"/>
          <w:szCs w:val="22"/>
        </w:rPr>
        <w:t>10%;</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 xml:space="preserve">2.  sistema hidrossanitário, por evento, sendo </w:t>
      </w:r>
      <w:r>
        <w:rPr>
          <w:rFonts w:ascii="Noto Serif Light" w:hAnsi="Noto Serif Light"/>
          <w:b w:val="false"/>
          <w:bCs w:val="false"/>
          <w:sz w:val="22"/>
          <w:szCs w:val="22"/>
        </w:rPr>
        <w:t>devida a partir da</w:t>
      </w:r>
      <w:r>
        <w:rPr>
          <w:rFonts w:ascii="Noto Serif Light" w:hAnsi="Noto Serif Light"/>
          <w:b w:val="false"/>
          <w:bCs w:val="false"/>
          <w:sz w:val="22"/>
          <w:szCs w:val="22"/>
        </w:rPr>
        <w:t xml:space="preserve"> segunda vistoria…………………………………..……………………………………………….……………</w:t>
      </w:r>
      <w:r>
        <w:rPr>
          <w:rFonts w:ascii="Noto Serif Light" w:hAnsi="Noto Serif Light"/>
          <w:b w:val="false"/>
          <w:bCs w:val="false"/>
          <w:sz w:val="22"/>
          <w:szCs w:val="22"/>
        </w:rPr>
        <w:t>.15%</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3. habite-se, por evento, sendo a segunda vistoria isenta;…………………….15%</w:t>
      </w:r>
    </w:p>
    <w:p>
      <w:pPr>
        <w:pStyle w:val="Corpodotexto"/>
        <w:spacing w:lineRule="auto" w:line="312"/>
        <w:ind w:left="850" w:right="96" w:hanging="0"/>
        <w:jc w:val="both"/>
        <w:rPr>
          <w:rFonts w:ascii="Noto Serif Light" w:hAnsi="Noto Serif Light"/>
          <w:sz w:val="22"/>
          <w:szCs w:val="22"/>
        </w:rPr>
      </w:pPr>
      <w:r>
        <w:rPr>
          <w:rFonts w:ascii="Noto Serif Light" w:hAnsi="Noto Serif Light"/>
          <w:b w:val="false"/>
          <w:bCs w:val="false"/>
          <w:sz w:val="22"/>
          <w:szCs w:val="22"/>
        </w:rPr>
        <w:t>(...)”</w:t>
      </w:r>
    </w:p>
    <w:p>
      <w:pPr>
        <w:pStyle w:val="Corpodotexto"/>
        <w:spacing w:lineRule="auto" w:line="312"/>
        <w:ind w:left="0" w:right="98" w:hanging="0"/>
        <w:jc w:val="both"/>
        <w:rPr>
          <w:rFonts w:ascii="Noto Serif Light" w:hAnsi="Noto Serif Light"/>
          <w:sz w:val="22"/>
          <w:szCs w:val="22"/>
        </w:rPr>
      </w:pPr>
      <w:r>
        <w:rPr>
          <w:rFonts w:ascii="Noto Serif Light" w:hAnsi="Noto Serif Light"/>
          <w:b w:val="false"/>
          <w:bCs w:val="false"/>
          <w:sz w:val="22"/>
          <w:szCs w:val="22"/>
        </w:rPr>
        <w:tab/>
      </w:r>
      <w:r>
        <w:rPr>
          <w:rFonts w:ascii="Noto Serif Light" w:hAnsi="Noto Serif Light"/>
          <w:b/>
          <w:bCs/>
          <w:sz w:val="22"/>
          <w:szCs w:val="22"/>
        </w:rPr>
        <w:t xml:space="preserve">Art. 3º </w:t>
      </w:r>
      <w:r>
        <w:rPr>
          <w:rFonts w:ascii="Noto Serif Light" w:hAnsi="Noto Serif Light"/>
          <w:sz w:val="22"/>
          <w:szCs w:val="22"/>
        </w:rPr>
        <w:t xml:space="preserve">Revoga-se as disposições em contrário. </w:t>
      </w:r>
    </w:p>
    <w:p>
      <w:pPr>
        <w:pStyle w:val="Corpodotexto"/>
        <w:spacing w:lineRule="auto" w:line="312"/>
        <w:ind w:left="0" w:right="98" w:hanging="0"/>
        <w:jc w:val="both"/>
        <w:rPr>
          <w:rFonts w:ascii="Noto Serif Light" w:hAnsi="Noto Serif Light"/>
          <w:sz w:val="22"/>
          <w:szCs w:val="22"/>
        </w:rPr>
      </w:pPr>
      <w:r>
        <w:rPr>
          <w:rFonts w:ascii="Noto Serif Light" w:hAnsi="Noto Serif Light"/>
          <w:sz w:val="22"/>
          <w:szCs w:val="22"/>
        </w:rPr>
        <w:tab/>
      </w:r>
      <w:r>
        <w:rPr>
          <w:rFonts w:ascii="Noto Serif Light" w:hAnsi="Noto Serif Light"/>
          <w:b/>
          <w:bCs/>
          <w:sz w:val="22"/>
          <w:szCs w:val="22"/>
        </w:rPr>
        <w:t>Art. 4º</w:t>
      </w:r>
      <w:r>
        <w:rPr>
          <w:rFonts w:ascii="Noto Serif Light" w:hAnsi="Noto Serif Light"/>
          <w:sz w:val="22"/>
          <w:szCs w:val="22"/>
        </w:rPr>
        <w:t xml:space="preserve"> Esta Lei entra em vigor na data de sua publicação.</w:t>
      </w:r>
    </w:p>
    <w:p>
      <w:pPr>
        <w:pStyle w:val="Normal"/>
        <w:spacing w:lineRule="auto" w:line="360"/>
        <w:ind w:left="0" w:right="0" w:hanging="0"/>
        <w:jc w:val="both"/>
        <w:rPr>
          <w:rFonts w:ascii="Noto Serif Light" w:hAnsi="Noto Serif Light"/>
          <w:b/>
          <w:b/>
          <w:sz w:val="22"/>
          <w:szCs w:val="22"/>
        </w:rPr>
      </w:pPr>
      <w:r>
        <w:rPr>
          <w:rFonts w:ascii="Noto Serif Light" w:hAnsi="Noto Serif Light"/>
          <w:b w:val="false"/>
          <w:bCs w:val="false"/>
          <w:sz w:val="22"/>
          <w:szCs w:val="22"/>
        </w:rPr>
        <w:tab/>
        <w:t>GABINETE DO PREFEITO MUNICIPAL DE DOIS IRMÃOS/RS, 8 DE DEZEMBRO DE 2022.</w:t>
      </w:r>
    </w:p>
    <w:p>
      <w:pPr>
        <w:pStyle w:val="Normal"/>
        <w:spacing w:lineRule="auto" w:line="240"/>
        <w:ind w:left="0" w:right="0" w:firstLine="1418"/>
        <w:jc w:val="right"/>
        <w:rPr>
          <w:rFonts w:ascii="Noto Serif Light" w:hAnsi="Noto Serif Light"/>
          <w:sz w:val="22"/>
          <w:szCs w:val="22"/>
        </w:rPr>
      </w:pPr>
      <w:r>
        <w:rPr>
          <w:rFonts w:ascii="Noto Serif Light" w:hAnsi="Noto Serif Light"/>
          <w:b/>
          <w:sz w:val="22"/>
          <w:szCs w:val="22"/>
        </w:rPr>
        <w:t>JERRI ADRIANI MENEGHETTI,</w:t>
      </w:r>
      <w:r>
        <w:rPr>
          <w:rFonts w:ascii="Noto Serif Light" w:hAnsi="Noto Serif Light"/>
          <w:b/>
          <w:bCs/>
          <w:sz w:val="22"/>
          <w:szCs w:val="22"/>
        </w:rPr>
        <w:t xml:space="preserve"> </w:t>
      </w:r>
    </w:p>
    <w:p>
      <w:pPr>
        <w:pStyle w:val="Normal"/>
        <w:spacing w:lineRule="auto" w:line="240"/>
        <w:ind w:left="0" w:right="0" w:firstLine="1418"/>
        <w:jc w:val="right"/>
        <w:rPr>
          <w:rFonts w:ascii="Noto Serif Light" w:hAnsi="Noto Serif Light"/>
          <w:b/>
          <w:b/>
          <w:bCs/>
          <w:sz w:val="22"/>
          <w:szCs w:val="22"/>
        </w:rPr>
      </w:pPr>
      <w:r>
        <w:rPr>
          <w:rFonts w:ascii="Noto Serif Light" w:hAnsi="Noto Serif Light"/>
          <w:b/>
          <w:bCs/>
          <w:sz w:val="22"/>
          <w:szCs w:val="22"/>
        </w:rPr>
        <w:t>PREFEITO MUNICIPAL.</w:t>
      </w:r>
    </w:p>
    <w:p>
      <w:pPr>
        <w:pStyle w:val="Corpodotexto"/>
        <w:spacing w:before="2" w:after="0"/>
        <w:jc w:val="center"/>
        <w:rPr>
          <w:rFonts w:ascii="Noto Serif Light" w:hAnsi="Noto Serif Light"/>
          <w:b/>
          <w:b/>
          <w:bCs/>
          <w:sz w:val="22"/>
          <w:szCs w:val="22"/>
        </w:rPr>
      </w:pPr>
      <w:r>
        <w:rPr>
          <w:rFonts w:cs="Arial" w:ascii="Noto Serif Light" w:hAnsi="Noto Serif Light"/>
          <w:b/>
          <w:bCs/>
          <w:sz w:val="22"/>
          <w:szCs w:val="22"/>
        </w:rPr>
        <w:t>EXPOSIÇÃO DE MOTIVOS</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 xml:space="preserve">Encaminhamos o presente Projeto de Lei nº 139/2022, que </w:t>
      </w:r>
      <w:r>
        <w:rPr>
          <w:rFonts w:cs="Arial" w:ascii="Noto Serif Light" w:hAnsi="Noto Serif Light"/>
          <w:b/>
          <w:bCs/>
          <w:sz w:val="22"/>
          <w:szCs w:val="22"/>
        </w:rPr>
        <w:t>“</w:t>
      </w:r>
      <w:r>
        <w:rPr>
          <w:rFonts w:cs="Arial" w:ascii="Noto Serif Light" w:hAnsi="Noto Serif Light"/>
          <w:b/>
          <w:bCs/>
          <w:i w:val="false"/>
          <w:caps w:val="false"/>
          <w:smallCaps w:val="false"/>
          <w:color w:val="000000"/>
          <w:spacing w:val="0"/>
          <w:sz w:val="22"/>
          <w:szCs w:val="22"/>
        </w:rPr>
        <w:t>ALTERA O ART.101-G E ITEM 7, DA TABELA  II E IV, DA TABELA III, DA LEI Nº4.535, DE 26 DE DEZEMBRO DE 2017, E DÁ OUTRAS PROVIDÊNCIAS</w:t>
      </w:r>
      <w:r>
        <w:rPr>
          <w:rFonts w:cs="Arial" w:ascii="Noto Serif Light" w:hAnsi="Noto Serif Light"/>
          <w:b/>
          <w:sz w:val="22"/>
          <w:szCs w:val="22"/>
        </w:rPr>
        <w:t>”,</w:t>
      </w:r>
      <w:r>
        <w:rPr>
          <w:rFonts w:cs="Arial" w:ascii="Noto Serif Light" w:hAnsi="Noto Serif Light"/>
          <w:sz w:val="22"/>
          <w:szCs w:val="22"/>
        </w:rPr>
        <w:t xml:space="preserve"> para apreciação e deliberação dos senhores </w:t>
      </w:r>
      <w:r>
        <w:rPr>
          <w:rFonts w:cs="Arial" w:ascii="Noto Serif Light" w:hAnsi="Noto Serif Light"/>
          <w:i/>
          <w:sz w:val="22"/>
          <w:szCs w:val="22"/>
        </w:rPr>
        <w:t>Edis.</w:t>
      </w:r>
    </w:p>
    <w:p>
      <w:pPr>
        <w:pStyle w:val="Corpodotexto"/>
        <w:spacing w:before="2" w:after="0"/>
        <w:jc w:val="both"/>
        <w:rPr>
          <w:rFonts w:ascii="Noto Serif Light" w:hAnsi="Noto Serif Light" w:cs="Arial"/>
          <w:i/>
          <w:i/>
        </w:rPr>
      </w:pPr>
      <w:r>
        <w:rPr>
          <w:rFonts w:cs="Arial" w:ascii="Noto Serif Light" w:hAnsi="Noto Serif Light"/>
          <w:i/>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 xml:space="preserve">Proponho a alteração da taxas concernentes a licença para execução de obras ou serviços de engenharia, inclusas na Tabela II e a referente as vistorias, previstas na Tabela III, item IV, porquanto, em reanálise verificou-se que não atendem a contento os serviços empreendidos e postos a disposição dos munícipes. </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 xml:space="preserve">De outro lado, propõe-se a revogação de taxas de serviços que entendeu-se serem dispensadas. </w:t>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Saliente-se que até então não se cobrava por reanálises de projetos, o que provoca onerosidade na prestação dos serviços de engenharia e, mais, apenas a contar da terceira será taxada.</w:t>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Cabe também registrar que a motivação dessa decorre do atendimento do princípio da equidade, eis que, o profissional diligente que apresenta o projeto na primeira análise de forma correta estava sendo penalizado, porquanto, os demais que reiteradamente apresentam os projetos de forma equivocada recebem mais serviços públicos.</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Desta forma, é a presente sugestão que se adéqua.</w:t>
      </w:r>
    </w:p>
    <w:p>
      <w:pPr>
        <w:pStyle w:val="Corpodotexto"/>
        <w:spacing w:before="2" w:after="0"/>
        <w:jc w:val="both"/>
        <w:rPr>
          <w:rFonts w:ascii="Noto Serif Light" w:hAnsi="Noto Serif Light" w:cs="Arial"/>
          <w:sz w:val="22"/>
          <w:szCs w:val="22"/>
        </w:rPr>
      </w:pPr>
      <w:r>
        <w:rPr>
          <w:rFonts w:cs="Arial" w:ascii="Noto Serif Light" w:hAnsi="Noto Serif Light"/>
          <w:sz w:val="22"/>
          <w:szCs w:val="22"/>
        </w:rPr>
      </w:r>
    </w:p>
    <w:p>
      <w:pPr>
        <w:pStyle w:val="Corpodotexto"/>
        <w:spacing w:before="2" w:after="0"/>
        <w:jc w:val="both"/>
        <w:rPr>
          <w:rFonts w:ascii="Noto Serif Light" w:hAnsi="Noto Serif Light"/>
          <w:sz w:val="22"/>
          <w:szCs w:val="22"/>
        </w:rPr>
      </w:pPr>
      <w:r>
        <w:rPr>
          <w:rFonts w:cs="Arial" w:ascii="Noto Serif Light" w:hAnsi="Noto Serif Light"/>
          <w:sz w:val="22"/>
          <w:szCs w:val="22"/>
        </w:rPr>
        <w:tab/>
        <w:tab/>
        <w:t>Assim, espero a deliberação favorável dos senhores edis.</w:t>
      </w:r>
    </w:p>
    <w:p>
      <w:pPr>
        <w:pStyle w:val="Corpodotexto"/>
        <w:spacing w:before="2" w:after="0"/>
        <w:jc w:val="both"/>
        <w:rPr>
          <w:rFonts w:cs="Arial"/>
        </w:rPr>
      </w:pPr>
      <w:r>
        <w:rPr>
          <w:rFonts w:cs="Arial"/>
        </w:rPr>
      </w:r>
    </w:p>
    <w:p>
      <w:pPr>
        <w:pStyle w:val="Normal"/>
        <w:spacing w:lineRule="auto" w:line="240"/>
        <w:ind w:left="0" w:right="0" w:firstLine="1418"/>
        <w:jc w:val="right"/>
        <w:rPr>
          <w:rFonts w:ascii="Noto Serif Light" w:hAnsi="Noto Serif Light"/>
          <w:sz w:val="22"/>
          <w:szCs w:val="22"/>
        </w:rPr>
      </w:pPr>
      <w:r>
        <w:rPr>
          <w:rFonts w:ascii="Noto Serif Light" w:hAnsi="Noto Serif Light"/>
          <w:b/>
          <w:sz w:val="22"/>
          <w:szCs w:val="22"/>
        </w:rPr>
        <w:t>JERRI ADRIANI MENEGHETTI,</w:t>
      </w:r>
      <w:r>
        <w:rPr>
          <w:rFonts w:ascii="Noto Serif Light" w:hAnsi="Noto Serif Light"/>
          <w:b/>
          <w:bCs/>
          <w:sz w:val="22"/>
          <w:szCs w:val="22"/>
        </w:rPr>
        <w:t xml:space="preserve"> </w:t>
      </w:r>
    </w:p>
    <w:p>
      <w:pPr>
        <w:pStyle w:val="Normal"/>
        <w:spacing w:lineRule="auto" w:line="240" w:before="0" w:after="200"/>
        <w:ind w:left="0" w:right="0" w:firstLine="1418"/>
        <w:jc w:val="right"/>
        <w:rPr>
          <w:rFonts w:ascii="Noto Serif Light" w:hAnsi="Noto Serif Light"/>
          <w:sz w:val="22"/>
          <w:szCs w:val="22"/>
        </w:rPr>
      </w:pPr>
      <w:r>
        <w:rPr>
          <w:rFonts w:ascii="Noto Serif Light" w:hAnsi="Noto Serif Light"/>
          <w:b/>
          <w:bCs/>
          <w:sz w:val="22"/>
          <w:szCs w:val="22"/>
        </w:rPr>
        <w:t>PREFEITO MUNICIPAL.</w:t>
      </w:r>
    </w:p>
    <w:sectPr>
      <w:type w:val="nextPage"/>
      <w:pgSz w:w="11906" w:h="16838"/>
      <w:pgMar w:left="1701" w:right="1134" w:header="0" w:top="2438" w:footer="0" w:bottom="136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Noto Serif Light">
    <w:charset w:val="00"/>
    <w:family w:val="roman"/>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320a0f"/>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LinkdaInternet">
    <w:name w:val="Link da Internet"/>
    <w:rPr>
      <w:color w:val="000080"/>
      <w:u w:val="single"/>
      <w:lang w:val="zxx" w:eastAsia="zxx" w:bidi="zxx"/>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numbering" w:styleId="NoList" w:default="1">
    <w:name w:val="No List"/>
    <w:uiPriority w:val="99"/>
    <w:semiHidden/>
    <w:unhideWhenUsed/>
    <w:qFormat/>
  </w:style>
  <w:style w:type="table" w:default="1" w:styleId="Tabelanormal">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783</TotalTime>
  <Application>LibreOffice/7.0.4.2$Windows_X86_64 LibreOffice_project/dcf040e67528d9187c66b2379df5ea4407429775</Application>
  <AppVersion>15.0000</AppVersion>
  <Pages>4</Pages>
  <Words>671</Words>
  <Characters>3719</Characters>
  <CharactersWithSpaces>4554</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2021-09-02T12:12:00Z</dcterms:created>
  <dc:creator>engenharia</dc:creator>
  <dc:description/>
  <dc:language>pt-BR</dc:language>
  <cp:lastModifiedBy/>
  <cp:lastPrinted>2022-12-08T12:55:45Z</cp:lastPrinted>
  <dcterms:modified xsi:type="dcterms:W3CDTF">2022-12-08T12:57:54Z</dcterms:modified>
  <cp:revision>70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