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media/image1.png" ContentType="image/png"/>
  <Override PartName="/word/media/image2.png" ContentType="image/png"/>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360" w:before="0" w:after="280"/>
        <w:jc w:val="center"/>
        <w:rPr>
          <w:rFonts w:ascii="Noto Serif Light" w:hAnsi="Noto Serif Light"/>
          <w:b/>
          <w:b/>
          <w:bCs/>
          <w:sz w:val="21"/>
          <w:szCs w:val="21"/>
        </w:rPr>
      </w:pPr>
      <w:r>
        <w:rPr>
          <w:rFonts w:cs="Arial" w:ascii="Noto Serif Light" w:hAnsi="Noto Serif Light"/>
          <w:b/>
          <w:bCs/>
          <w:sz w:val="21"/>
          <w:szCs w:val="21"/>
        </w:rPr>
        <w:t xml:space="preserve">PROJETO DE LEI Nº </w:t>
      </w:r>
      <w:r>
        <w:rPr>
          <w:rFonts w:cs="Arial" w:ascii="Noto Serif Light" w:hAnsi="Noto Serif Light"/>
          <w:b/>
          <w:bCs/>
          <w:sz w:val="21"/>
          <w:szCs w:val="21"/>
        </w:rPr>
        <w:t>90/2023</w:t>
      </w:r>
    </w:p>
    <w:p>
      <w:pPr>
        <w:pStyle w:val="Normal"/>
        <w:spacing w:lineRule="auto" w:line="360" w:before="280" w:after="280"/>
        <w:ind w:left="2835" w:right="0" w:hanging="0"/>
        <w:rPr>
          <w:rFonts w:ascii="Noto Serif Light" w:hAnsi="Noto Serif Light"/>
          <w:b/>
          <w:b/>
          <w:bCs/>
          <w:sz w:val="21"/>
          <w:szCs w:val="21"/>
        </w:rPr>
      </w:pPr>
      <w:r>
        <w:rPr>
          <w:rFonts w:cs="Arial" w:ascii="Noto Serif Light" w:hAnsi="Noto Serif Light"/>
          <w:b/>
          <w:bCs/>
          <w:sz w:val="21"/>
          <w:szCs w:val="21"/>
        </w:rPr>
        <w:t>“</w:t>
      </w:r>
      <w:r>
        <w:rPr>
          <w:rFonts w:cs="Arial" w:ascii="Noto Serif Light" w:hAnsi="Noto Serif Light"/>
          <w:b/>
          <w:bCs/>
          <w:sz w:val="21"/>
          <w:szCs w:val="21"/>
        </w:rPr>
        <w:t>DISPÕE SOBRE O PLANO DE CUSTEIO DO REGIME PRÓPRIO DE PREVIDÊNCIA SOCIAL DO MUNICÍPIO DE DOIS IRMÃOS – RS.”</w:t>
      </w:r>
    </w:p>
    <w:p>
      <w:pPr>
        <w:pStyle w:val="Normal"/>
        <w:spacing w:lineRule="auto" w:line="360" w:before="280" w:after="280"/>
        <w:ind w:hanging="0"/>
        <w:rPr>
          <w:rFonts w:ascii="Noto Serif Light" w:hAnsi="Noto Serif Light"/>
          <w:sz w:val="21"/>
          <w:szCs w:val="21"/>
        </w:rPr>
      </w:pPr>
      <w:r>
        <w:rPr>
          <w:rFonts w:cs="Arial" w:ascii="Noto Serif Light" w:hAnsi="Noto Serif Light"/>
          <w:sz w:val="21"/>
          <w:szCs w:val="21"/>
        </w:rPr>
        <w:tab/>
      </w:r>
      <w:r>
        <w:rPr>
          <w:rFonts w:eastAsia="Calibri Light" w:cs="Noto Serif Light" w:ascii="Noto Serif Light" w:hAnsi="Noto Serif Light"/>
          <w:b/>
          <w:sz w:val="22"/>
          <w:szCs w:val="22"/>
        </w:rPr>
        <w:t xml:space="preserve">JERRI ADRIANI MENEGHETTI, </w:t>
      </w:r>
      <w:r>
        <w:rPr>
          <w:rFonts w:eastAsia="Calibri Light" w:cs="Noto Serif Light" w:ascii="Noto Serif Light" w:hAnsi="Noto Serif Light"/>
          <w:b w:val="false"/>
          <w:bCs w:val="false"/>
          <w:sz w:val="22"/>
          <w:szCs w:val="22"/>
        </w:rPr>
        <w:t>Prefeito Municipal de Dois Irmãos</w:t>
      </w:r>
      <w:r>
        <w:rPr>
          <w:rFonts w:eastAsia="Calibri Light" w:cs="Noto Serif Light" w:ascii="Noto Serif Light" w:hAnsi="Noto Serif Light"/>
          <w:b/>
          <w:sz w:val="22"/>
          <w:szCs w:val="22"/>
        </w:rPr>
        <w:t xml:space="preserve">, </w:t>
      </w:r>
      <w:r>
        <w:rPr>
          <w:rFonts w:eastAsia="Calibri Light" w:cs="Noto Serif Light" w:ascii="Noto Serif Light" w:hAnsi="Noto Serif Light"/>
          <w:b w:val="false"/>
          <w:bCs w:val="false"/>
          <w:sz w:val="22"/>
          <w:szCs w:val="22"/>
        </w:rPr>
        <w:t>no uso das atribuições que lhe são conferidas por Lei Orgânica do Município, faço saber que a Câmara Municipal aprova e eu sanciono a seguinte:</w:t>
      </w:r>
    </w:p>
    <w:p>
      <w:pPr>
        <w:pStyle w:val="Normal"/>
        <w:spacing w:lineRule="auto" w:line="360" w:before="280" w:after="280"/>
        <w:ind w:hanging="0"/>
        <w:jc w:val="center"/>
        <w:rPr>
          <w:rFonts w:ascii="Noto Serif Light" w:hAnsi="Noto Serif Light"/>
          <w:sz w:val="21"/>
          <w:szCs w:val="21"/>
        </w:rPr>
      </w:pPr>
      <w:r>
        <w:rPr>
          <w:rFonts w:eastAsia="Calibri Light" w:cs="Noto Serif Light" w:ascii="Noto Serif Light" w:hAnsi="Noto Serif Light"/>
          <w:b w:val="false"/>
          <w:bCs w:val="false"/>
          <w:sz w:val="22"/>
          <w:szCs w:val="22"/>
        </w:rPr>
        <w:t>L E I  :</w:t>
      </w:r>
    </w:p>
    <w:p>
      <w:pPr>
        <w:pStyle w:val="Normal"/>
        <w:spacing w:lineRule="auto" w:line="360" w:before="280" w:after="100"/>
        <w:ind w:hanging="0"/>
        <w:contextualSpacing/>
        <w:jc w:val="center"/>
        <w:rPr>
          <w:rFonts w:ascii="Noto Serif Light" w:hAnsi="Noto Serif Light"/>
          <w:b/>
          <w:b/>
          <w:bCs/>
          <w:sz w:val="21"/>
          <w:szCs w:val="21"/>
        </w:rPr>
      </w:pPr>
      <w:r>
        <w:rPr>
          <w:rFonts w:cs="Arial" w:ascii="Noto Serif Light" w:hAnsi="Noto Serif Light"/>
          <w:b/>
          <w:bCs/>
          <w:sz w:val="21"/>
          <w:szCs w:val="21"/>
        </w:rPr>
        <w:t>TÍTULO I</w:t>
      </w:r>
    </w:p>
    <w:p>
      <w:pPr>
        <w:pStyle w:val="Normal"/>
        <w:spacing w:lineRule="auto" w:line="360" w:before="280" w:after="100"/>
        <w:ind w:hanging="0"/>
        <w:contextualSpacing/>
        <w:jc w:val="center"/>
        <w:rPr>
          <w:rFonts w:ascii="Noto Serif Light" w:hAnsi="Noto Serif Light"/>
          <w:b/>
          <w:b/>
          <w:bCs/>
          <w:sz w:val="21"/>
          <w:szCs w:val="21"/>
        </w:rPr>
      </w:pPr>
      <w:r>
        <w:rPr>
          <w:rFonts w:cs="Arial" w:ascii="Noto Serif Light" w:hAnsi="Noto Serif Light"/>
          <w:b/>
          <w:bCs/>
          <w:sz w:val="21"/>
          <w:szCs w:val="21"/>
        </w:rPr>
        <w:t>DAS FONTES DE CUSTEIO</w:t>
      </w:r>
    </w:p>
    <w:p>
      <w:pPr>
        <w:pStyle w:val="Normal"/>
        <w:spacing w:lineRule="auto" w:line="360" w:before="280" w:after="100"/>
        <w:ind w:hanging="0"/>
        <w:contextualSpacing/>
        <w:jc w:val="center"/>
        <w:rPr>
          <w:rFonts w:ascii="Noto Serif Light" w:hAnsi="Noto Serif Light" w:cs="Arial"/>
          <w:sz w:val="12"/>
          <w:szCs w:val="12"/>
        </w:rPr>
      </w:pPr>
      <w:r>
        <w:rPr>
          <w:rFonts w:cs="Arial" w:ascii="Noto Serif Light" w:hAnsi="Noto Serif Light"/>
          <w:sz w:val="12"/>
          <w:szCs w:val="12"/>
        </w:rPr>
      </w:r>
    </w:p>
    <w:p>
      <w:pPr>
        <w:pStyle w:val="Normal"/>
        <w:spacing w:lineRule="auto" w:line="360" w:before="280" w:after="100"/>
        <w:contextualSpacing/>
        <w:jc w:val="both"/>
        <w:rPr>
          <w:rFonts w:ascii="Noto Serif Light" w:hAnsi="Noto Serif Light"/>
          <w:sz w:val="21"/>
          <w:szCs w:val="21"/>
        </w:rPr>
      </w:pPr>
      <w:r>
        <w:rPr>
          <w:rFonts w:cs="Arial" w:ascii="Noto Serif Light" w:hAnsi="Noto Serif Light"/>
          <w:b/>
          <w:bCs/>
          <w:sz w:val="21"/>
          <w:szCs w:val="21"/>
        </w:rPr>
        <w:t>Art. 1º</w:t>
      </w:r>
      <w:r>
        <w:rPr>
          <w:rFonts w:cs="Arial" w:ascii="Noto Serif Light" w:hAnsi="Noto Serif Light"/>
          <w:sz w:val="21"/>
          <w:szCs w:val="21"/>
        </w:rPr>
        <w:t xml:space="preserve"> Constituem fontes de custeio do Regime Próprio de Previdência Social (RPPS): </w:t>
      </w:r>
    </w:p>
    <w:p>
      <w:pPr>
        <w:pStyle w:val="Normal"/>
        <w:spacing w:lineRule="auto" w:line="360" w:before="280" w:after="100"/>
        <w:contextualSpacing/>
        <w:jc w:val="both"/>
        <w:rPr>
          <w:rFonts w:ascii="Noto Serif Light" w:hAnsi="Noto Serif Light"/>
          <w:sz w:val="21"/>
          <w:szCs w:val="21"/>
        </w:rPr>
      </w:pPr>
      <w:r>
        <w:rPr>
          <w:rFonts w:cs="Arial" w:ascii="Noto Serif Light" w:hAnsi="Noto Serif Light"/>
          <w:sz w:val="21"/>
          <w:szCs w:val="21"/>
        </w:rPr>
        <w:t>I – a contribuição do ente federativo, pelos Poder Executivo, Poder Legislativo, autarquias e fundações públicas municipais;</w:t>
      </w:r>
    </w:p>
    <w:p>
      <w:pPr>
        <w:pStyle w:val="Normal"/>
        <w:spacing w:lineRule="auto" w:line="360" w:before="280" w:after="100"/>
        <w:contextualSpacing/>
        <w:jc w:val="both"/>
        <w:rPr>
          <w:rFonts w:ascii="Noto Serif Light" w:hAnsi="Noto Serif Light"/>
          <w:sz w:val="21"/>
          <w:szCs w:val="21"/>
        </w:rPr>
      </w:pPr>
      <w:r>
        <w:rPr>
          <w:rFonts w:cs="Arial" w:ascii="Noto Serif Light" w:hAnsi="Noto Serif Light"/>
          <w:sz w:val="21"/>
          <w:szCs w:val="21"/>
        </w:rPr>
        <w:t>II – a contribuição dos segurados ativos, dos segurados inativos e dos pensionistas;</w:t>
      </w:r>
    </w:p>
    <w:p>
      <w:pPr>
        <w:pStyle w:val="Normal"/>
        <w:spacing w:lineRule="auto" w:line="360" w:before="280" w:after="100"/>
        <w:contextualSpacing/>
        <w:jc w:val="both"/>
        <w:rPr>
          <w:rFonts w:ascii="Noto Serif Light" w:hAnsi="Noto Serif Light"/>
          <w:sz w:val="21"/>
          <w:szCs w:val="21"/>
        </w:rPr>
      </w:pPr>
      <w:r>
        <w:rPr>
          <w:rFonts w:cs="Arial" w:ascii="Noto Serif Light" w:hAnsi="Noto Serif Light"/>
          <w:sz w:val="21"/>
          <w:szCs w:val="21"/>
        </w:rPr>
        <w:t>III -  as receitas decorrentes de investimentos e as patrimoniais;</w:t>
      </w:r>
    </w:p>
    <w:p>
      <w:pPr>
        <w:pStyle w:val="Normal"/>
        <w:spacing w:lineRule="auto" w:line="360" w:before="280" w:after="100"/>
        <w:contextualSpacing/>
        <w:jc w:val="both"/>
        <w:rPr>
          <w:rFonts w:ascii="Noto Serif Light" w:hAnsi="Noto Serif Light"/>
          <w:sz w:val="21"/>
          <w:szCs w:val="21"/>
        </w:rPr>
      </w:pPr>
      <w:r>
        <w:rPr>
          <w:rFonts w:cs="Arial" w:ascii="Noto Serif Light" w:hAnsi="Noto Serif Light"/>
          <w:sz w:val="21"/>
          <w:szCs w:val="21"/>
        </w:rPr>
        <w:t>IV – os valores recebidos a título de compensação financeira;</w:t>
      </w:r>
    </w:p>
    <w:p>
      <w:pPr>
        <w:pStyle w:val="Normal"/>
        <w:spacing w:lineRule="auto" w:line="360" w:before="280" w:after="100"/>
        <w:contextualSpacing/>
        <w:jc w:val="both"/>
        <w:rPr>
          <w:rFonts w:ascii="Noto Serif Light" w:hAnsi="Noto Serif Light"/>
          <w:sz w:val="21"/>
          <w:szCs w:val="21"/>
        </w:rPr>
      </w:pPr>
      <w:r>
        <w:rPr>
          <w:rFonts w:cs="Arial" w:ascii="Noto Serif Light" w:hAnsi="Noto Serif Light"/>
          <w:sz w:val="21"/>
          <w:szCs w:val="21"/>
        </w:rPr>
        <w:t>V – os valores aportados pelo ente federativo;</w:t>
      </w:r>
    </w:p>
    <w:p>
      <w:pPr>
        <w:pStyle w:val="Normal"/>
        <w:spacing w:lineRule="auto" w:line="360" w:before="280" w:after="100"/>
        <w:contextualSpacing/>
        <w:jc w:val="both"/>
        <w:rPr>
          <w:rFonts w:ascii="Noto Serif Light" w:hAnsi="Noto Serif Light"/>
          <w:sz w:val="21"/>
          <w:szCs w:val="21"/>
        </w:rPr>
      </w:pPr>
      <w:r>
        <w:rPr>
          <w:rFonts w:cs="Arial" w:ascii="Noto Serif Light" w:hAnsi="Noto Serif Light"/>
          <w:sz w:val="21"/>
          <w:szCs w:val="21"/>
        </w:rPr>
        <w:t>VI – as demais dotações previstas no orçamento federal, estadual, distrital e municipal;</w:t>
      </w:r>
    </w:p>
    <w:p>
      <w:pPr>
        <w:pStyle w:val="Normal"/>
        <w:spacing w:lineRule="auto" w:line="360" w:before="280" w:after="100"/>
        <w:contextualSpacing/>
        <w:jc w:val="both"/>
        <w:rPr>
          <w:rFonts w:ascii="Noto Serif Light" w:hAnsi="Noto Serif Light"/>
          <w:sz w:val="21"/>
          <w:szCs w:val="21"/>
        </w:rPr>
      </w:pPr>
      <w:r>
        <w:rPr>
          <w:rFonts w:cs="Arial" w:ascii="Noto Serif Light" w:hAnsi="Noto Serif Light"/>
          <w:sz w:val="21"/>
          <w:szCs w:val="21"/>
        </w:rPr>
        <w:t>VII – outros bens, direitos e ativos com finalidade previdenciária;</w:t>
      </w:r>
    </w:p>
    <w:p>
      <w:pPr>
        <w:pStyle w:val="Normal"/>
        <w:spacing w:lineRule="auto" w:line="360" w:before="280" w:after="100"/>
        <w:contextualSpacing/>
        <w:jc w:val="both"/>
        <w:rPr>
          <w:rFonts w:ascii="Noto Serif Light" w:hAnsi="Noto Serif Light"/>
          <w:sz w:val="21"/>
          <w:szCs w:val="21"/>
        </w:rPr>
      </w:pPr>
      <w:r>
        <w:rPr>
          <w:rFonts w:cs="Arial" w:ascii="Noto Serif Light" w:hAnsi="Noto Serif Light"/>
          <w:sz w:val="21"/>
          <w:szCs w:val="21"/>
        </w:rPr>
        <w:t>VIII – doações, subvenções e legados.</w:t>
      </w:r>
    </w:p>
    <w:p>
      <w:pPr>
        <w:pStyle w:val="Normal"/>
        <w:spacing w:lineRule="auto" w:line="360" w:before="280" w:after="100"/>
        <w:contextualSpacing/>
        <w:jc w:val="both"/>
        <w:rPr>
          <w:rFonts w:ascii="Noto Serif Light" w:hAnsi="Noto Serif Light" w:cs="Arial"/>
          <w:sz w:val="12"/>
          <w:szCs w:val="12"/>
        </w:rPr>
      </w:pPr>
      <w:r>
        <w:rPr>
          <w:rFonts w:cs="Arial" w:ascii="Noto Serif Light" w:hAnsi="Noto Serif Light"/>
          <w:sz w:val="12"/>
          <w:szCs w:val="12"/>
        </w:rPr>
      </w:r>
    </w:p>
    <w:p>
      <w:pPr>
        <w:pStyle w:val="Normal"/>
        <w:spacing w:lineRule="auto" w:line="360" w:before="280" w:after="100"/>
        <w:contextualSpacing/>
        <w:jc w:val="both"/>
        <w:rPr>
          <w:rFonts w:ascii="Noto Serif Light" w:hAnsi="Noto Serif Light"/>
          <w:sz w:val="21"/>
          <w:szCs w:val="21"/>
        </w:rPr>
      </w:pPr>
      <w:r>
        <w:rPr>
          <w:rFonts w:cs="Arial" w:ascii="Noto Serif Light" w:hAnsi="Noto Serif Light"/>
          <w:b/>
          <w:bCs/>
          <w:sz w:val="21"/>
          <w:szCs w:val="21"/>
        </w:rPr>
        <w:t>Art. 2º</w:t>
      </w:r>
      <w:r>
        <w:rPr>
          <w:rFonts w:cs="Arial" w:ascii="Noto Serif Light" w:hAnsi="Noto Serif Light"/>
          <w:sz w:val="21"/>
          <w:szCs w:val="21"/>
        </w:rPr>
        <w:t xml:space="preserve"> Constituem recursos do RPPS:</w:t>
      </w:r>
    </w:p>
    <w:p>
      <w:pPr>
        <w:pStyle w:val="Normal"/>
        <w:spacing w:lineRule="auto" w:line="360" w:before="280" w:after="100"/>
        <w:ind w:hanging="0"/>
        <w:contextualSpacing/>
        <w:jc w:val="both"/>
        <w:rPr>
          <w:rFonts w:cs="Arial"/>
        </w:rPr>
      </w:pPr>
      <w:r>
        <w:rPr>
          <w:rFonts w:ascii="Noto Serif Light" w:hAnsi="Noto Serif Light"/>
          <w:sz w:val="8"/>
          <w:szCs w:val="8"/>
        </w:rPr>
      </w:r>
    </w:p>
    <w:p>
      <w:pPr>
        <w:pStyle w:val="Normal"/>
        <w:spacing w:lineRule="auto" w:line="360" w:before="280" w:after="100"/>
        <w:contextualSpacing/>
        <w:jc w:val="both"/>
        <w:rPr>
          <w:rFonts w:ascii="Noto Serif Light" w:hAnsi="Noto Serif Light"/>
          <w:sz w:val="21"/>
          <w:szCs w:val="21"/>
        </w:rPr>
      </w:pPr>
      <w:r>
        <w:rPr>
          <w:rFonts w:cs="Arial" w:ascii="Noto Serif Light" w:hAnsi="Noto Serif Light"/>
          <w:sz w:val="21"/>
          <w:szCs w:val="21"/>
        </w:rPr>
        <w:t>I – a contribuição previdenciária, de caráter compulsório, de todos os Poderes e órgãos do Município, incluídas suas autarquias e fundações, na razão de 14,58% (catorze inteiros e cinquenta e oito centésimos percentuais), incidente sobre a totalidade da remuneração de contribuição dos servidores ativos, inativos e pensionista;</w:t>
      </w:r>
    </w:p>
    <w:p>
      <w:pPr>
        <w:pStyle w:val="Normal"/>
        <w:spacing w:lineRule="auto" w:line="360" w:before="280" w:after="100"/>
        <w:ind w:hanging="0"/>
        <w:contextualSpacing/>
        <w:jc w:val="both"/>
        <w:rPr>
          <w:rFonts w:cs="Arial"/>
        </w:rPr>
      </w:pPr>
      <w:r>
        <w:rPr>
          <w:rFonts w:ascii="Noto Serif Light" w:hAnsi="Noto Serif Light"/>
          <w:sz w:val="8"/>
          <w:szCs w:val="8"/>
        </w:rPr>
      </w:r>
    </w:p>
    <w:p>
      <w:pPr>
        <w:pStyle w:val="Normal"/>
        <w:spacing w:lineRule="auto" w:line="360" w:before="280" w:after="100"/>
        <w:contextualSpacing/>
        <w:jc w:val="both"/>
        <w:rPr>
          <w:rFonts w:ascii="Noto Serif Light" w:hAnsi="Noto Serif Light"/>
          <w:sz w:val="21"/>
          <w:szCs w:val="21"/>
        </w:rPr>
      </w:pPr>
      <w:r>
        <w:rPr>
          <w:rFonts w:cs="Arial" w:ascii="Noto Serif Light" w:hAnsi="Noto Serif Light"/>
          <w:sz w:val="21"/>
          <w:szCs w:val="21"/>
        </w:rPr>
        <w:t>II – a contribuição previdenciária, de caráter compulsório, dos servidores públicos ativos e em disponibilidade remunerada de qualquer dos Poderes e órgãos do Município, incluídas suas autarquias e fundações, na razão de 14% (catorze por cento),</w:t>
      </w:r>
      <w:r>
        <w:rPr>
          <w:rFonts w:cs="Arial" w:ascii="Noto Serif Light" w:hAnsi="Noto Serif Light"/>
          <w:color w:val="FF0000"/>
          <w:sz w:val="21"/>
          <w:szCs w:val="21"/>
        </w:rPr>
        <w:t xml:space="preserve"> </w:t>
      </w:r>
      <w:r>
        <w:rPr>
          <w:rFonts w:cs="Arial" w:ascii="Noto Serif Light" w:hAnsi="Noto Serif Light"/>
          <w:sz w:val="21"/>
          <w:szCs w:val="21"/>
        </w:rPr>
        <w:t>incidente sobre a totalidade da remuneração de contribuição;</w:t>
      </w:r>
    </w:p>
    <w:p>
      <w:pPr>
        <w:pStyle w:val="Normal"/>
        <w:spacing w:lineRule="auto" w:line="360" w:before="280" w:after="100"/>
        <w:ind w:hanging="0"/>
        <w:contextualSpacing/>
        <w:jc w:val="both"/>
        <w:rPr>
          <w:rFonts w:cs="Arial"/>
        </w:rPr>
      </w:pPr>
      <w:r>
        <w:rPr>
          <w:rFonts w:ascii="Noto Serif Light" w:hAnsi="Noto Serif Light"/>
          <w:sz w:val="12"/>
          <w:szCs w:val="12"/>
        </w:rPr>
      </w:r>
    </w:p>
    <w:p>
      <w:pPr>
        <w:pStyle w:val="Normal"/>
        <w:spacing w:lineRule="auto" w:line="360" w:before="280" w:after="100"/>
        <w:contextualSpacing/>
        <w:jc w:val="both"/>
        <w:rPr>
          <w:rFonts w:ascii="Noto Serif Light" w:hAnsi="Noto Serif Light"/>
          <w:sz w:val="21"/>
          <w:szCs w:val="21"/>
        </w:rPr>
      </w:pPr>
      <w:r>
        <w:rPr>
          <w:rFonts w:cs="Arial" w:ascii="Noto Serif Light" w:hAnsi="Noto Serif Light"/>
          <w:sz w:val="21"/>
          <w:szCs w:val="21"/>
        </w:rPr>
        <w:t xml:space="preserve">III – a contribuição previdenciária, de caráter compulsório, dos servidores públicos inativos e pensionistas de qualquer dos Poderes e órgãos do Município, incluídas suas autarquias e fundações, na razão de 14% (catorze por cento), incidente sobre o valor da parcela que supere o teto de benefícios pagos pelo Regime Geral de Previdência Social. </w:t>
      </w:r>
    </w:p>
    <w:p>
      <w:pPr>
        <w:pStyle w:val="Normal"/>
        <w:spacing w:lineRule="auto" w:line="360" w:before="280" w:after="100"/>
        <w:contextualSpacing/>
        <w:jc w:val="both"/>
        <w:rPr>
          <w:rFonts w:cs="Arial"/>
        </w:rPr>
      </w:pPr>
      <w:r>
        <w:rPr>
          <w:rFonts w:ascii="Noto Serif Light" w:hAnsi="Noto Serif Light"/>
          <w:sz w:val="6"/>
          <w:szCs w:val="6"/>
        </w:rPr>
      </w:r>
    </w:p>
    <w:p>
      <w:pPr>
        <w:pStyle w:val="Normal"/>
        <w:spacing w:lineRule="auto" w:line="360" w:beforeAutospacing="0" w:before="0" w:afterAutospacing="0" w:after="0"/>
        <w:jc w:val="both"/>
        <w:rPr>
          <w:rFonts w:ascii="Noto Serif Light" w:hAnsi="Noto Serif Light"/>
          <w:sz w:val="21"/>
          <w:szCs w:val="21"/>
        </w:rPr>
      </w:pPr>
      <w:r>
        <w:rPr>
          <w:rFonts w:cs="Arial" w:ascii="Noto Serif Light" w:hAnsi="Noto Serif Light"/>
          <w:b/>
          <w:bCs/>
          <w:sz w:val="21"/>
          <w:szCs w:val="21"/>
        </w:rPr>
        <w:t xml:space="preserve">Parágrafo </w:t>
      </w:r>
      <w:r>
        <w:rPr>
          <w:rFonts w:cs="Arial" w:ascii="Noto Serif Light" w:hAnsi="Noto Serif Light"/>
          <w:b/>
          <w:bCs/>
          <w:sz w:val="21"/>
          <w:szCs w:val="21"/>
        </w:rPr>
        <w:t>ú</w:t>
      </w:r>
      <w:r>
        <w:rPr>
          <w:rFonts w:cs="Arial" w:ascii="Noto Serif Light" w:hAnsi="Noto Serif Light"/>
          <w:b/>
          <w:bCs/>
          <w:sz w:val="21"/>
          <w:szCs w:val="21"/>
        </w:rPr>
        <w:t>nico</w:t>
      </w:r>
      <w:r>
        <w:rPr>
          <w:rFonts w:cs="Arial" w:ascii="Noto Serif Light" w:hAnsi="Noto Serif Light"/>
          <w:sz w:val="21"/>
          <w:szCs w:val="21"/>
        </w:rPr>
        <w:t xml:space="preserve">. </w:t>
      </w:r>
      <w:r>
        <w:rPr>
          <w:rFonts w:eastAsia="Arial" w:cs="Arial" w:ascii="Noto Serif Light" w:hAnsi="Noto Serif Light"/>
          <w:sz w:val="21"/>
          <w:szCs w:val="21"/>
          <w:lang w:eastAsia="pt-BR"/>
        </w:rPr>
        <w:t xml:space="preserve">Para os fins desta lei, a contribuição previdenciária </w:t>
      </w:r>
      <w:r>
        <w:rPr>
          <w:rFonts w:eastAsia="Arial" w:cs="Arial" w:ascii="Noto Serif Light" w:hAnsi="Noto Serif Light"/>
          <w:bCs/>
          <w:sz w:val="21"/>
          <w:szCs w:val="21"/>
          <w:lang w:eastAsia="pt-BR"/>
        </w:rPr>
        <w:t>dos servidores que tenham ingressado no serviço público após a vigência do plano de previdência complementar e aos que optarem por aderir ao plano de previdência complementar, ficará limitada a</w:t>
      </w:r>
      <w:r>
        <w:rPr>
          <w:rFonts w:eastAsia="Arial" w:cs="Arial" w:ascii="Noto Serif Light" w:hAnsi="Noto Serif Light"/>
          <w:sz w:val="21"/>
          <w:szCs w:val="21"/>
          <w:lang w:eastAsia="pt-BR"/>
        </w:rPr>
        <w:t>o valor do teto do Regime Geral de Previdência Social.</w:t>
      </w:r>
    </w:p>
    <w:p>
      <w:pPr>
        <w:pStyle w:val="Normal"/>
        <w:spacing w:lineRule="auto" w:line="360" w:beforeAutospacing="0" w:before="0" w:afterAutospacing="0" w:after="0"/>
        <w:jc w:val="both"/>
        <w:rPr>
          <w:rFonts w:ascii="5" w:hAnsi="5" w:eastAsia="Arial" w:cs="Arial"/>
          <w:sz w:val="10"/>
          <w:szCs w:val="10"/>
          <w:lang w:eastAsia="pt-BR"/>
        </w:rPr>
      </w:pPr>
      <w:r>
        <w:rPr>
          <w:rFonts w:eastAsia="Arial" w:cs="Arial" w:ascii="5" w:hAnsi="5"/>
          <w:sz w:val="10"/>
          <w:szCs w:val="10"/>
          <w:lang w:eastAsia="pt-BR"/>
        </w:rPr>
      </w:r>
    </w:p>
    <w:p>
      <w:pPr>
        <w:pStyle w:val="Normal"/>
        <w:spacing w:lineRule="auto" w:line="360" w:before="280" w:after="100"/>
        <w:contextualSpacing/>
        <w:jc w:val="both"/>
        <w:rPr>
          <w:rFonts w:ascii="Noto Serif Light" w:hAnsi="Noto Serif Light"/>
          <w:sz w:val="21"/>
          <w:szCs w:val="21"/>
        </w:rPr>
      </w:pPr>
      <w:r>
        <w:rPr>
          <w:rFonts w:cs="Arial" w:ascii="Noto Serif Light" w:hAnsi="Noto Serif Light"/>
          <w:b/>
          <w:bCs/>
          <w:sz w:val="21"/>
          <w:szCs w:val="21"/>
        </w:rPr>
        <w:t>Art. 3º</w:t>
      </w:r>
      <w:r>
        <w:rPr>
          <w:rFonts w:cs="Arial" w:ascii="Noto Serif Light" w:hAnsi="Noto Serif Light"/>
          <w:sz w:val="21"/>
          <w:szCs w:val="21"/>
        </w:rPr>
        <w:t xml:space="preserve"> As contribuições e demais recursos de que trata o art. 2º somente poderão ser utilizadas para pagamento de benefícios previdenciários do RPPS e a taxa de administração destinada à sua manutenção.</w:t>
      </w:r>
    </w:p>
    <w:p>
      <w:pPr>
        <w:pStyle w:val="Normal"/>
        <w:spacing w:lineRule="auto" w:line="360" w:before="280" w:after="100"/>
        <w:ind w:hanging="0"/>
        <w:contextualSpacing/>
        <w:jc w:val="both"/>
        <w:rPr>
          <w:rFonts w:cs="Arial"/>
        </w:rPr>
      </w:pPr>
      <w:r>
        <w:rPr>
          <w:rFonts w:ascii="Noto Serif Light" w:hAnsi="Noto Serif Light"/>
          <w:sz w:val="8"/>
          <w:szCs w:val="8"/>
        </w:rPr>
      </w:r>
    </w:p>
    <w:p>
      <w:pPr>
        <w:pStyle w:val="Normal"/>
        <w:spacing w:lineRule="auto" w:line="360" w:before="280" w:after="100"/>
        <w:contextualSpacing/>
        <w:jc w:val="both"/>
        <w:rPr>
          <w:rFonts w:ascii="Noto Serif Light" w:hAnsi="Noto Serif Light"/>
          <w:sz w:val="21"/>
          <w:szCs w:val="21"/>
        </w:rPr>
      </w:pPr>
      <w:r>
        <w:rPr>
          <w:rFonts w:cs="Arial" w:ascii="Noto Serif Light" w:hAnsi="Noto Serif Light"/>
          <w:sz w:val="21"/>
          <w:szCs w:val="21"/>
        </w:rPr>
        <w:t>§ 1º Os recursos do RPPS serão depositados em conta distinta das contas do Tesouro Municipal.</w:t>
      </w:r>
    </w:p>
    <w:p>
      <w:pPr>
        <w:pStyle w:val="Normal"/>
        <w:spacing w:lineRule="auto" w:line="360" w:before="280" w:after="100"/>
        <w:ind w:hanging="0"/>
        <w:contextualSpacing/>
        <w:jc w:val="both"/>
        <w:rPr>
          <w:rFonts w:cs="Arial"/>
        </w:rPr>
      </w:pPr>
      <w:r>
        <w:rPr>
          <w:rFonts w:ascii="Noto Serif Light" w:hAnsi="Noto Serif Light"/>
          <w:sz w:val="8"/>
          <w:szCs w:val="8"/>
        </w:rPr>
      </w:r>
    </w:p>
    <w:p>
      <w:pPr>
        <w:pStyle w:val="Normal"/>
        <w:spacing w:lineRule="auto" w:line="360" w:before="280" w:after="100"/>
        <w:contextualSpacing/>
        <w:jc w:val="both"/>
        <w:rPr>
          <w:rFonts w:ascii="Noto Serif Light" w:hAnsi="Noto Serif Light"/>
          <w:sz w:val="21"/>
          <w:szCs w:val="21"/>
        </w:rPr>
      </w:pPr>
      <w:r>
        <w:rPr>
          <w:rFonts w:cs="Arial" w:ascii="Noto Serif Light" w:hAnsi="Noto Serif Light"/>
          <w:sz w:val="21"/>
          <w:szCs w:val="21"/>
        </w:rPr>
        <w:t>§ 2º As aplicações financeiras dos recursos mencionados neste artigo atenderão às resoluções do Conselho Monetário Nacional, sendo vedada a utilização desses recursos para empréstimo de qualquer natureza.</w:t>
      </w:r>
    </w:p>
    <w:p>
      <w:pPr>
        <w:pStyle w:val="Normal"/>
        <w:spacing w:lineRule="auto" w:line="360" w:before="280" w:after="100"/>
        <w:contextualSpacing/>
        <w:jc w:val="both"/>
        <w:rPr>
          <w:rFonts w:ascii="Noto Serif Light" w:hAnsi="Noto Serif Light" w:cs="Arial"/>
          <w:sz w:val="10"/>
          <w:szCs w:val="10"/>
        </w:rPr>
      </w:pPr>
      <w:r>
        <w:rPr>
          <w:rFonts w:cs="Arial" w:ascii="Noto Serif Light" w:hAnsi="Noto Serif Light"/>
          <w:sz w:val="10"/>
          <w:szCs w:val="10"/>
        </w:rPr>
      </w:r>
    </w:p>
    <w:p>
      <w:pPr>
        <w:pStyle w:val="Normal"/>
        <w:spacing w:lineRule="auto" w:line="360" w:before="280" w:after="100"/>
        <w:contextualSpacing/>
        <w:jc w:val="both"/>
        <w:rPr>
          <w:rFonts w:ascii="Noto Serif Light" w:hAnsi="Noto Serif Light"/>
          <w:sz w:val="21"/>
          <w:szCs w:val="21"/>
        </w:rPr>
      </w:pPr>
      <w:r>
        <w:rPr>
          <w:rFonts w:cs="Arial" w:ascii="Noto Serif Light" w:hAnsi="Noto Serif Light"/>
          <w:b/>
          <w:bCs/>
          <w:sz w:val="21"/>
          <w:szCs w:val="21"/>
        </w:rPr>
        <w:t>Art. 4º</w:t>
      </w:r>
      <w:r>
        <w:rPr>
          <w:rFonts w:cs="Arial" w:ascii="Noto Serif Light" w:hAnsi="Noto Serif Light"/>
          <w:sz w:val="21"/>
          <w:szCs w:val="21"/>
        </w:rPr>
        <w:t xml:space="preserve"> O plano de custeio do RPPS será revisto e atualizado a cada exercício, observadas as normas gerais atuariais, objetivando a manutenção de seu equilíbrio financeiro e atuarial.</w:t>
      </w:r>
    </w:p>
    <w:p>
      <w:pPr>
        <w:pStyle w:val="Normal"/>
        <w:spacing w:lineRule="auto" w:line="360" w:before="280" w:after="100"/>
        <w:ind w:hanging="0"/>
        <w:contextualSpacing/>
        <w:jc w:val="both"/>
        <w:rPr>
          <w:rFonts w:cs="Arial"/>
        </w:rPr>
      </w:pPr>
      <w:r>
        <w:rPr>
          <w:rFonts w:ascii="Noto Serif Light" w:hAnsi="Noto Serif Light"/>
          <w:sz w:val="8"/>
          <w:szCs w:val="8"/>
        </w:rPr>
      </w:r>
    </w:p>
    <w:p>
      <w:pPr>
        <w:pStyle w:val="Normal"/>
        <w:spacing w:lineRule="auto" w:line="360" w:before="280" w:after="100"/>
        <w:contextualSpacing/>
        <w:jc w:val="both"/>
        <w:rPr>
          <w:rFonts w:ascii="Noto Serif Light" w:hAnsi="Noto Serif Light"/>
          <w:sz w:val="21"/>
          <w:szCs w:val="21"/>
        </w:rPr>
      </w:pPr>
      <w:r>
        <w:rPr>
          <w:rFonts w:cs="Arial" w:ascii="Noto Serif Light" w:hAnsi="Noto Serif Light"/>
          <w:sz w:val="21"/>
          <w:szCs w:val="21"/>
        </w:rPr>
        <w:t>§ 1º Indicando a reavaliação atuarial a necessidade de alteração dos percentuais de contribuição indicados no art. 2º, tal se dará por lei.</w:t>
      </w:r>
    </w:p>
    <w:p>
      <w:pPr>
        <w:pStyle w:val="Normal"/>
        <w:spacing w:lineRule="auto" w:line="360" w:before="280" w:after="100"/>
        <w:contextualSpacing/>
        <w:jc w:val="both"/>
        <w:rPr>
          <w:rFonts w:cs="Arial"/>
        </w:rPr>
      </w:pPr>
      <w:r>
        <w:rPr>
          <w:rFonts w:ascii="Noto Serif Light" w:hAnsi="Noto Serif Light"/>
          <w:sz w:val="8"/>
          <w:szCs w:val="8"/>
        </w:rPr>
      </w:r>
    </w:p>
    <w:p>
      <w:pPr>
        <w:pStyle w:val="Normal"/>
        <w:spacing w:lineRule="auto" w:line="360" w:before="280" w:after="100"/>
        <w:contextualSpacing/>
        <w:jc w:val="both"/>
        <w:rPr>
          <w:rFonts w:ascii="Noto Serif Light" w:hAnsi="Noto Serif Light"/>
          <w:sz w:val="21"/>
          <w:szCs w:val="21"/>
        </w:rPr>
      </w:pPr>
      <w:r>
        <w:rPr>
          <w:rFonts w:cs="Arial" w:ascii="Noto Serif Light" w:hAnsi="Noto Serif Light"/>
          <w:sz w:val="21"/>
          <w:szCs w:val="21"/>
        </w:rPr>
        <w:t>§ 2º No caso de insuficiência das contribuições, cumpre ao Poder Executivo, Poder Legislativo, autarquias e fundações públicas municipais aportar os recursos orçamentário-financeiros necessários à manutenção dos benefícios previdenciárias e das despesas administrativas.</w:t>
      </w:r>
    </w:p>
    <w:p>
      <w:pPr>
        <w:pStyle w:val="Normal"/>
        <w:spacing w:lineRule="auto" w:line="360" w:before="280" w:after="100"/>
        <w:contextualSpacing/>
        <w:jc w:val="both"/>
        <w:rPr>
          <w:rFonts w:ascii="Noto Serif Light" w:hAnsi="Noto Serif Light" w:cs="Arial"/>
          <w:sz w:val="12"/>
          <w:szCs w:val="12"/>
        </w:rPr>
      </w:pPr>
      <w:r>
        <w:rPr>
          <w:rFonts w:cs="Arial" w:ascii="Noto Serif Light" w:hAnsi="Noto Serif Light"/>
          <w:sz w:val="12"/>
          <w:szCs w:val="12"/>
        </w:rPr>
      </w:r>
    </w:p>
    <w:p>
      <w:pPr>
        <w:pStyle w:val="Normal"/>
        <w:spacing w:lineRule="auto" w:line="240" w:before="280" w:after="100"/>
        <w:contextualSpacing/>
        <w:jc w:val="center"/>
        <w:rPr>
          <w:rFonts w:cs="Arial"/>
          <w:b/>
          <w:b/>
          <w:bCs/>
        </w:rPr>
      </w:pPr>
      <w:r>
        <w:rPr>
          <w:rFonts w:ascii="Noto Serif Light" w:hAnsi="Noto Serif Light"/>
          <w:sz w:val="21"/>
          <w:szCs w:val="21"/>
        </w:rPr>
      </w:r>
    </w:p>
    <w:p>
      <w:pPr>
        <w:pStyle w:val="Normal"/>
        <w:spacing w:lineRule="auto" w:line="240" w:before="280" w:after="100"/>
        <w:contextualSpacing/>
        <w:jc w:val="center"/>
        <w:rPr>
          <w:rFonts w:ascii="Noto Serif Light" w:hAnsi="Noto Serif Light"/>
          <w:sz w:val="21"/>
          <w:szCs w:val="21"/>
        </w:rPr>
      </w:pPr>
      <w:r>
        <w:rPr>
          <w:rFonts w:cs="Arial" w:ascii="Noto Serif Light" w:hAnsi="Noto Serif Light"/>
          <w:b/>
          <w:bCs/>
          <w:sz w:val="21"/>
          <w:szCs w:val="21"/>
        </w:rPr>
        <w:t>TÍTULO II</w:t>
      </w:r>
    </w:p>
    <w:p>
      <w:pPr>
        <w:pStyle w:val="Normal"/>
        <w:spacing w:lineRule="auto" w:line="240" w:before="280" w:after="280"/>
        <w:jc w:val="center"/>
        <w:rPr>
          <w:rFonts w:ascii="Noto Serif Light" w:hAnsi="Noto Serif Light"/>
          <w:b/>
          <w:b/>
          <w:bCs/>
          <w:sz w:val="21"/>
          <w:szCs w:val="21"/>
        </w:rPr>
      </w:pPr>
      <w:r>
        <w:rPr>
          <w:rFonts w:cs="Arial" w:ascii="Noto Serif Light" w:hAnsi="Noto Serif Light"/>
          <w:b/>
          <w:bCs/>
          <w:sz w:val="21"/>
          <w:szCs w:val="21"/>
        </w:rPr>
        <w:t>DA BASE CONTRIBUTIVA</w:t>
      </w:r>
    </w:p>
    <w:p>
      <w:pPr>
        <w:pStyle w:val="Normal"/>
        <w:spacing w:lineRule="auto" w:line="360" w:before="280" w:after="100"/>
        <w:contextualSpacing/>
        <w:jc w:val="both"/>
        <w:rPr>
          <w:rFonts w:ascii="Noto Serif Light" w:hAnsi="Noto Serif Light"/>
          <w:sz w:val="21"/>
          <w:szCs w:val="21"/>
        </w:rPr>
      </w:pPr>
      <w:r>
        <w:rPr>
          <w:rFonts w:cs="Arial" w:ascii="Noto Serif Light" w:hAnsi="Noto Serif Light"/>
          <w:b/>
          <w:bCs/>
          <w:sz w:val="21"/>
          <w:szCs w:val="21"/>
        </w:rPr>
        <w:t>Art. 5º</w:t>
      </w:r>
      <w:r>
        <w:rPr>
          <w:rFonts w:cs="Arial" w:ascii="Noto Serif Light" w:hAnsi="Noto Serif Light"/>
          <w:sz w:val="21"/>
          <w:szCs w:val="21"/>
        </w:rPr>
        <w:t xml:space="preserve"> Considera-se base de cálculo das contribuições previdenciárias de responsabilidade dos Poderes e órgãos do Município, incluídas suas autarquias e fundações:</w:t>
      </w:r>
    </w:p>
    <w:p>
      <w:pPr>
        <w:pStyle w:val="Normal"/>
        <w:spacing w:lineRule="auto" w:line="360" w:before="280" w:after="100"/>
        <w:contextualSpacing/>
        <w:jc w:val="both"/>
        <w:rPr>
          <w:rFonts w:ascii="Noto Serif Light" w:hAnsi="Noto Serif Light"/>
          <w:sz w:val="21"/>
          <w:szCs w:val="21"/>
        </w:rPr>
      </w:pPr>
      <w:r>
        <w:rPr>
          <w:rFonts w:cs="Arial" w:ascii="Noto Serif Light" w:hAnsi="Noto Serif Light"/>
          <w:sz w:val="21"/>
          <w:szCs w:val="21"/>
        </w:rPr>
        <w:t>I – o total da remuneração de contribuição dos servidores</w:t>
      </w:r>
      <w:r>
        <w:rPr>
          <w:rFonts w:cs="Arial" w:ascii="Noto Serif Light" w:hAnsi="Noto Serif Light"/>
          <w:color w:val="FF0000"/>
          <w:sz w:val="21"/>
          <w:szCs w:val="21"/>
        </w:rPr>
        <w:t xml:space="preserve"> </w:t>
      </w:r>
      <w:r>
        <w:rPr>
          <w:rFonts w:cs="Arial" w:ascii="Noto Serif Light" w:hAnsi="Noto Serif Light"/>
          <w:color w:val="auto"/>
          <w:sz w:val="21"/>
          <w:szCs w:val="21"/>
        </w:rPr>
        <w:t>ativos;</w:t>
      </w:r>
    </w:p>
    <w:p>
      <w:pPr>
        <w:pStyle w:val="Normal"/>
        <w:spacing w:lineRule="auto" w:line="360" w:before="280" w:after="100"/>
        <w:contextualSpacing/>
        <w:jc w:val="both"/>
        <w:rPr>
          <w:rFonts w:ascii="Noto Serif Light" w:hAnsi="Noto Serif Light"/>
          <w:sz w:val="21"/>
          <w:szCs w:val="21"/>
        </w:rPr>
      </w:pPr>
      <w:r>
        <w:rPr>
          <w:rFonts w:cs="Arial" w:ascii="Noto Serif Light" w:hAnsi="Noto Serif Light"/>
          <w:sz w:val="21"/>
          <w:szCs w:val="21"/>
        </w:rPr>
        <w:t>II – a gratificação natalina paga aos servidores ativos.</w:t>
      </w:r>
    </w:p>
    <w:p>
      <w:pPr>
        <w:pStyle w:val="Normal"/>
        <w:spacing w:lineRule="auto" w:line="360" w:before="280" w:after="100"/>
        <w:contextualSpacing/>
        <w:jc w:val="both"/>
        <w:rPr>
          <w:rFonts w:cs="Arial"/>
        </w:rPr>
      </w:pPr>
      <w:r>
        <w:rPr>
          <w:rFonts w:ascii="Noto Serif Light" w:hAnsi="Noto Serif Light"/>
          <w:sz w:val="6"/>
          <w:szCs w:val="6"/>
        </w:rPr>
      </w:r>
    </w:p>
    <w:p>
      <w:pPr>
        <w:pStyle w:val="Normal"/>
        <w:spacing w:lineRule="auto" w:line="360" w:before="280" w:after="100"/>
        <w:contextualSpacing/>
        <w:jc w:val="both"/>
        <w:rPr>
          <w:rFonts w:ascii="Noto Serif Light" w:hAnsi="Noto Serif Light"/>
          <w:sz w:val="21"/>
          <w:szCs w:val="21"/>
        </w:rPr>
      </w:pPr>
      <w:r>
        <w:rPr>
          <w:rFonts w:cs="Arial" w:ascii="Noto Serif Light" w:hAnsi="Noto Serif Light"/>
          <w:b/>
          <w:bCs/>
          <w:sz w:val="21"/>
          <w:szCs w:val="21"/>
        </w:rPr>
        <w:t>Parágrafo único</w:t>
      </w:r>
      <w:r>
        <w:rPr>
          <w:rFonts w:cs="Arial" w:ascii="Noto Serif Light" w:hAnsi="Noto Serif Light"/>
          <w:sz w:val="21"/>
          <w:szCs w:val="21"/>
        </w:rPr>
        <w:t>. A base de cálculo estabelecida deve ser considerada tanto para o cálculo da contribuição previdenciária de que trata o inciso I do art. 2º, quanto da contribuição suplementar mencionada no art.12,</w:t>
      </w:r>
      <w:r>
        <w:rPr>
          <w:rFonts w:ascii="Noto Serif Light" w:hAnsi="Noto Serif Light" w:cstheme="minorBidi"/>
          <w:sz w:val="21"/>
          <w:szCs w:val="21"/>
          <w:shd w:fill="auto" w:val="clear"/>
        </w:rPr>
        <w:t xml:space="preserve"> </w:t>
        <w:softHyphen/>
        <w:softHyphen/>
        <w:softHyphen/>
        <w:t>q</w:t>
      </w:r>
      <w:r>
        <w:rPr>
          <w:rFonts w:cs="Arial" w:ascii="Noto Serif Light" w:hAnsi="Noto Serif Light"/>
          <w:sz w:val="21"/>
          <w:szCs w:val="21"/>
        </w:rPr>
        <w:t>uando fixada em forma de alíquota.</w:t>
      </w:r>
    </w:p>
    <w:p>
      <w:pPr>
        <w:pStyle w:val="Normal"/>
        <w:spacing w:lineRule="auto" w:line="360" w:before="280" w:after="100"/>
        <w:contextualSpacing/>
        <w:jc w:val="both"/>
        <w:rPr>
          <w:rFonts w:ascii="Noto Serif Light" w:hAnsi="Noto Serif Light" w:cs="Arial"/>
          <w:sz w:val="10"/>
          <w:szCs w:val="10"/>
        </w:rPr>
      </w:pPr>
      <w:r>
        <w:rPr>
          <w:rFonts w:cs="Arial" w:ascii="Noto Serif Light" w:hAnsi="Noto Serif Light"/>
          <w:sz w:val="10"/>
          <w:szCs w:val="10"/>
        </w:rPr>
      </w:r>
    </w:p>
    <w:p>
      <w:pPr>
        <w:pStyle w:val="Normal"/>
        <w:spacing w:lineRule="auto" w:line="360" w:before="280" w:after="100"/>
        <w:contextualSpacing/>
        <w:jc w:val="both"/>
        <w:rPr>
          <w:rFonts w:ascii="Noto Serif Light" w:hAnsi="Noto Serif Light"/>
          <w:sz w:val="21"/>
          <w:szCs w:val="21"/>
        </w:rPr>
      </w:pPr>
      <w:r>
        <w:rPr>
          <w:rFonts w:cs="Arial" w:ascii="Noto Serif Light" w:hAnsi="Noto Serif Light"/>
          <w:b/>
          <w:bCs/>
          <w:sz w:val="21"/>
          <w:szCs w:val="21"/>
        </w:rPr>
        <w:t>Art. 6º</w:t>
      </w:r>
      <w:r>
        <w:rPr>
          <w:rFonts w:cs="Arial" w:ascii="Noto Serif Light" w:hAnsi="Noto Serif Light"/>
          <w:sz w:val="21"/>
          <w:szCs w:val="21"/>
        </w:rPr>
        <w:t xml:space="preserve"> </w:t>
      </w:r>
      <w:bookmarkStart w:id="0" w:name="_Hlk135918921"/>
      <w:r>
        <w:rPr>
          <w:rFonts w:cs="Arial" w:ascii="Noto Serif Light" w:hAnsi="Noto Serif Light"/>
          <w:sz w:val="21"/>
          <w:szCs w:val="21"/>
        </w:rPr>
        <w:t xml:space="preserve">Considera-se base de cálculo das contribuições previdenciárias de responsabilidade do servidor ativo sua remuneração de contribuição, que é composta de: </w:t>
      </w:r>
    </w:p>
    <w:p>
      <w:pPr>
        <w:pStyle w:val="Normal"/>
        <w:spacing w:lineRule="auto" w:line="360" w:before="280" w:after="100"/>
        <w:contextualSpacing/>
        <w:jc w:val="both"/>
        <w:rPr>
          <w:rFonts w:ascii="Noto Serif Light" w:hAnsi="Noto Serif Light"/>
          <w:sz w:val="21"/>
          <w:szCs w:val="21"/>
        </w:rPr>
      </w:pPr>
      <w:r>
        <w:rPr>
          <w:rFonts w:cs="Arial" w:ascii="Noto Serif Light" w:hAnsi="Noto Serif Light"/>
          <w:sz w:val="21"/>
          <w:szCs w:val="21"/>
        </w:rPr>
        <w:t>I – vencimento básico do cargo efetivo;</w:t>
      </w:r>
      <w:bookmarkEnd w:id="0"/>
    </w:p>
    <w:p>
      <w:pPr>
        <w:pStyle w:val="Normal"/>
        <w:spacing w:lineRule="auto" w:line="360" w:before="280" w:after="100"/>
        <w:contextualSpacing/>
        <w:jc w:val="both"/>
        <w:rPr>
          <w:rFonts w:ascii="Noto Serif Light" w:hAnsi="Noto Serif Light"/>
          <w:sz w:val="21"/>
          <w:szCs w:val="21"/>
        </w:rPr>
      </w:pPr>
      <w:r>
        <w:rPr>
          <w:rFonts w:cs="Arial" w:ascii="Noto Serif Light" w:hAnsi="Noto Serif Light"/>
          <w:sz w:val="21"/>
          <w:szCs w:val="21"/>
        </w:rPr>
        <w:t>II – classe;</w:t>
      </w:r>
    </w:p>
    <w:p>
      <w:pPr>
        <w:pStyle w:val="Normal"/>
        <w:spacing w:lineRule="auto" w:line="360" w:before="280" w:after="100"/>
        <w:contextualSpacing/>
        <w:jc w:val="both"/>
        <w:rPr>
          <w:rFonts w:ascii="Noto Serif Light" w:hAnsi="Noto Serif Light"/>
          <w:sz w:val="21"/>
          <w:szCs w:val="21"/>
        </w:rPr>
      </w:pPr>
      <w:r>
        <w:rPr>
          <w:rFonts w:cs="Arial" w:ascii="Noto Serif Light" w:hAnsi="Noto Serif Light"/>
          <w:sz w:val="21"/>
          <w:szCs w:val="21"/>
        </w:rPr>
        <w:t>III – nível;</w:t>
      </w:r>
    </w:p>
    <w:p>
      <w:pPr>
        <w:pStyle w:val="Normal"/>
        <w:spacing w:lineRule="auto" w:line="360" w:before="280" w:after="100"/>
        <w:contextualSpacing/>
        <w:jc w:val="both"/>
        <w:rPr>
          <w:rFonts w:ascii="Noto Serif Light" w:hAnsi="Noto Serif Light"/>
          <w:sz w:val="21"/>
          <w:szCs w:val="21"/>
        </w:rPr>
      </w:pPr>
      <w:r>
        <w:rPr>
          <w:rFonts w:cs="Arial" w:ascii="Noto Serif Light" w:hAnsi="Noto Serif Light"/>
          <w:sz w:val="21"/>
          <w:szCs w:val="21"/>
        </w:rPr>
        <w:t>IV – adicionais por tempo de serviço;</w:t>
      </w:r>
    </w:p>
    <w:p>
      <w:pPr>
        <w:pStyle w:val="Normal"/>
        <w:spacing w:lineRule="auto" w:line="360" w:before="280" w:after="100"/>
        <w:contextualSpacing/>
        <w:jc w:val="both"/>
        <w:rPr>
          <w:rFonts w:ascii="Noto Serif Light" w:hAnsi="Noto Serif Light"/>
          <w:sz w:val="21"/>
          <w:szCs w:val="21"/>
        </w:rPr>
      </w:pPr>
      <w:r>
        <w:rPr>
          <w:rFonts w:cs="Arial" w:ascii="Noto Serif Light" w:hAnsi="Noto Serif Light"/>
          <w:sz w:val="21"/>
          <w:szCs w:val="21"/>
        </w:rPr>
        <w:t>V – demais já incorporadas ao conjunto remuneratório do servidor, nos termos de lei municipal ou de decisão judicial.</w:t>
      </w:r>
    </w:p>
    <w:p>
      <w:pPr>
        <w:pStyle w:val="Normal"/>
        <w:spacing w:lineRule="auto" w:line="360" w:before="280" w:after="100"/>
        <w:ind w:hanging="0"/>
        <w:contextualSpacing/>
        <w:jc w:val="both"/>
        <w:rPr>
          <w:rFonts w:cs="Arial"/>
        </w:rPr>
      </w:pPr>
      <w:r>
        <w:rPr>
          <w:rFonts w:ascii="Noto Serif Light" w:hAnsi="Noto Serif Light"/>
          <w:sz w:val="6"/>
          <w:szCs w:val="6"/>
        </w:rPr>
      </w:r>
    </w:p>
    <w:p>
      <w:pPr>
        <w:pStyle w:val="Normal"/>
        <w:spacing w:lineRule="auto" w:line="360" w:before="280" w:after="100"/>
        <w:contextualSpacing/>
        <w:jc w:val="both"/>
        <w:rPr>
          <w:rFonts w:ascii="Noto Serif Light" w:hAnsi="Noto Serif Light"/>
          <w:sz w:val="21"/>
          <w:szCs w:val="21"/>
        </w:rPr>
      </w:pPr>
      <w:r>
        <w:rPr>
          <w:rFonts w:cs="Arial" w:ascii="Noto Serif Light" w:hAnsi="Noto Serif Light"/>
          <w:sz w:val="21"/>
          <w:szCs w:val="21"/>
        </w:rPr>
        <w:t xml:space="preserve">§ 1º Equiparam-se à remuneração de contribuição as licenças concedidas aos servidores em que não haja prejuízo da remuneração e o salário-maternidade pagos aos servidores ativos. </w:t>
      </w:r>
    </w:p>
    <w:p>
      <w:pPr>
        <w:pStyle w:val="Normal"/>
        <w:spacing w:lineRule="auto" w:line="360" w:before="280" w:after="100"/>
        <w:ind w:hanging="0"/>
        <w:contextualSpacing/>
        <w:jc w:val="both"/>
        <w:rPr>
          <w:rFonts w:cs="Arial"/>
        </w:rPr>
      </w:pPr>
      <w:r>
        <w:rPr>
          <w:rFonts w:ascii="Noto Serif Light" w:hAnsi="Noto Serif Light"/>
          <w:sz w:val="6"/>
          <w:szCs w:val="6"/>
        </w:rPr>
      </w:r>
    </w:p>
    <w:p>
      <w:pPr>
        <w:pStyle w:val="Normal"/>
        <w:spacing w:lineRule="auto" w:line="360" w:before="280" w:after="100"/>
        <w:contextualSpacing/>
        <w:jc w:val="both"/>
        <w:rPr>
          <w:rFonts w:ascii="Noto Serif Light" w:hAnsi="Noto Serif Light"/>
          <w:sz w:val="21"/>
          <w:szCs w:val="21"/>
        </w:rPr>
      </w:pPr>
      <w:r>
        <w:rPr>
          <w:rFonts w:cs="Arial" w:ascii="Noto Serif Light" w:hAnsi="Noto Serif Light"/>
          <w:sz w:val="21"/>
          <w:szCs w:val="21"/>
        </w:rPr>
        <w:t xml:space="preserve">§ 2º </w:t>
      </w:r>
      <w:bookmarkStart w:id="1" w:name="_Hlk135918900"/>
      <w:r>
        <w:rPr>
          <w:rFonts w:cs="Arial" w:ascii="Noto Serif Light" w:hAnsi="Noto Serif Light"/>
          <w:sz w:val="21"/>
          <w:szCs w:val="21"/>
        </w:rPr>
        <w:t>A gratificação natalina ou sua parcela paga ao servidor ativo será considerada separadamente dos demais valores componentes da base de cálculo para incidência das contribuições.</w:t>
      </w:r>
      <w:bookmarkEnd w:id="1"/>
    </w:p>
    <w:p>
      <w:pPr>
        <w:pStyle w:val="Normal"/>
        <w:spacing w:lineRule="auto" w:line="360" w:before="280" w:after="100"/>
        <w:ind w:hanging="0"/>
        <w:contextualSpacing/>
        <w:jc w:val="both"/>
        <w:rPr>
          <w:rFonts w:ascii="Noto Serif Light" w:hAnsi="Noto Serif Light" w:cs="Arial"/>
          <w:sz w:val="6"/>
          <w:szCs w:val="6"/>
        </w:rPr>
      </w:pPr>
      <w:r>
        <w:rPr>
          <w:rFonts w:cs="Arial" w:ascii="Noto Serif Light" w:hAnsi="Noto Serif Light"/>
          <w:sz w:val="6"/>
          <w:szCs w:val="6"/>
        </w:rPr>
      </w:r>
    </w:p>
    <w:p>
      <w:pPr>
        <w:pStyle w:val="Normal"/>
        <w:spacing w:lineRule="auto" w:line="360" w:before="280" w:after="100"/>
        <w:contextualSpacing/>
        <w:jc w:val="both"/>
        <w:rPr>
          <w:rFonts w:ascii="Noto Serif Light" w:hAnsi="Noto Serif Light"/>
          <w:sz w:val="21"/>
          <w:szCs w:val="21"/>
        </w:rPr>
      </w:pPr>
      <w:r>
        <w:rPr>
          <w:rFonts w:cs="Arial" w:ascii="Noto Serif Light" w:hAnsi="Noto Serif Light"/>
          <w:b/>
          <w:bCs/>
          <w:sz w:val="21"/>
          <w:szCs w:val="21"/>
        </w:rPr>
        <w:t>Art. 7º</w:t>
      </w:r>
      <w:r>
        <w:rPr>
          <w:rFonts w:cs="Arial" w:ascii="Noto Serif Light" w:hAnsi="Noto Serif Light"/>
          <w:sz w:val="21"/>
          <w:szCs w:val="21"/>
        </w:rPr>
        <w:t xml:space="preserve"> Considera-se base de cálculo das contribuições previdenciárias de responsabilidade do servidor inativo e pensionista, respeitada a faixa de isenção de que trata o inciso III do art. 2º:  </w:t>
      </w:r>
    </w:p>
    <w:p>
      <w:pPr>
        <w:pStyle w:val="Normal"/>
        <w:spacing w:lineRule="auto" w:line="360" w:before="280" w:after="100"/>
        <w:contextualSpacing/>
        <w:jc w:val="both"/>
        <w:rPr>
          <w:rFonts w:ascii="Noto Serif Light" w:hAnsi="Noto Serif Light"/>
          <w:sz w:val="21"/>
          <w:szCs w:val="21"/>
        </w:rPr>
      </w:pPr>
      <w:r>
        <w:rPr>
          <w:rFonts w:cs="Arial" w:ascii="Noto Serif Light" w:hAnsi="Noto Serif Light"/>
          <w:sz w:val="21"/>
          <w:szCs w:val="21"/>
        </w:rPr>
        <w:t>I – o total de proventos;</w:t>
      </w:r>
    </w:p>
    <w:p>
      <w:pPr>
        <w:pStyle w:val="Normal"/>
        <w:spacing w:lineRule="auto" w:line="360" w:before="280" w:after="100"/>
        <w:contextualSpacing/>
        <w:jc w:val="both"/>
        <w:rPr>
          <w:rFonts w:ascii="Noto Serif Light" w:hAnsi="Noto Serif Light"/>
          <w:sz w:val="21"/>
          <w:szCs w:val="21"/>
        </w:rPr>
      </w:pPr>
      <w:r>
        <w:rPr>
          <w:rFonts w:cs="Arial" w:ascii="Noto Serif Light" w:hAnsi="Noto Serif Light"/>
          <w:sz w:val="21"/>
          <w:szCs w:val="21"/>
        </w:rPr>
        <w:t>II - a gratificação natalina, considerada separadamente dos demais valores componentes da base de cálculo para incidência das contribuições.</w:t>
      </w:r>
    </w:p>
    <w:p>
      <w:pPr>
        <w:pStyle w:val="Normal"/>
        <w:spacing w:lineRule="auto" w:line="360" w:before="280" w:after="100"/>
        <w:ind w:hanging="0"/>
        <w:contextualSpacing/>
        <w:jc w:val="both"/>
        <w:rPr>
          <w:rFonts w:cs="Arial"/>
          <w:b/>
          <w:b/>
          <w:bCs/>
        </w:rPr>
      </w:pPr>
      <w:r>
        <w:rPr>
          <w:rFonts w:ascii="Noto Serif Light" w:hAnsi="Noto Serif Light"/>
          <w:sz w:val="6"/>
          <w:szCs w:val="6"/>
        </w:rPr>
      </w:r>
    </w:p>
    <w:p>
      <w:pPr>
        <w:pStyle w:val="Normal"/>
        <w:spacing w:lineRule="auto" w:line="360" w:before="280" w:after="100"/>
        <w:contextualSpacing/>
        <w:jc w:val="both"/>
        <w:rPr>
          <w:rFonts w:ascii="Noto Serif Light" w:hAnsi="Noto Serif Light"/>
          <w:sz w:val="21"/>
          <w:szCs w:val="21"/>
        </w:rPr>
      </w:pPr>
      <w:r>
        <w:rPr>
          <w:rFonts w:cs="Arial" w:ascii="Noto Serif Light" w:hAnsi="Noto Serif Light"/>
          <w:b/>
          <w:bCs/>
          <w:sz w:val="21"/>
          <w:szCs w:val="21"/>
        </w:rPr>
        <w:t>Art. 8º</w:t>
      </w:r>
      <w:r>
        <w:rPr>
          <w:rFonts w:cs="Arial" w:ascii="Noto Serif Light" w:hAnsi="Noto Serif Light"/>
          <w:sz w:val="21"/>
          <w:szCs w:val="21"/>
        </w:rPr>
        <w:t xml:space="preserve"> As parcelas remuneratórias pagas ao servidor ativo, inativo ou pensionista, em decorrência de decisão judicial ou administrativa, serão consideradas como remuneração de contribuição, observando-se que:</w:t>
      </w:r>
    </w:p>
    <w:p>
      <w:pPr>
        <w:pStyle w:val="Normal"/>
        <w:spacing w:lineRule="auto" w:line="360" w:before="280" w:after="100"/>
        <w:contextualSpacing/>
        <w:jc w:val="both"/>
        <w:rPr>
          <w:rFonts w:ascii="Noto Serif Light" w:hAnsi="Noto Serif Light"/>
          <w:sz w:val="21"/>
          <w:szCs w:val="21"/>
        </w:rPr>
      </w:pPr>
      <w:r>
        <w:rPr>
          <w:rFonts w:cs="Arial" w:ascii="Noto Serif Light" w:hAnsi="Noto Serif Light"/>
          <w:sz w:val="21"/>
          <w:szCs w:val="21"/>
        </w:rPr>
        <w:t>I – sendo possível identificar as competências a que se refere o pagamento, aplicar-se-á a alíquota vigente na competência em cada competência;</w:t>
      </w:r>
    </w:p>
    <w:p>
      <w:pPr>
        <w:pStyle w:val="Normal"/>
        <w:spacing w:lineRule="auto" w:line="360" w:before="280" w:after="100"/>
        <w:ind w:hanging="0"/>
        <w:contextualSpacing/>
        <w:jc w:val="both"/>
        <w:rPr>
          <w:rFonts w:cs="Arial"/>
        </w:rPr>
      </w:pPr>
      <w:r>
        <w:rPr>
          <w:rFonts w:ascii="Noto Serif Light" w:hAnsi="Noto Serif Light"/>
          <w:sz w:val="6"/>
          <w:szCs w:val="6"/>
        </w:rPr>
      </w:r>
    </w:p>
    <w:p>
      <w:pPr>
        <w:pStyle w:val="Normal"/>
        <w:spacing w:lineRule="auto" w:line="360" w:before="280" w:after="100"/>
        <w:contextualSpacing/>
        <w:jc w:val="both"/>
        <w:rPr>
          <w:rFonts w:ascii="Noto Serif Light" w:hAnsi="Noto Serif Light"/>
          <w:sz w:val="21"/>
          <w:szCs w:val="21"/>
        </w:rPr>
      </w:pPr>
      <w:r>
        <w:rPr>
          <w:rFonts w:cs="Arial" w:ascii="Noto Serif Light" w:hAnsi="Noto Serif Light"/>
          <w:sz w:val="21"/>
          <w:szCs w:val="21"/>
        </w:rPr>
        <w:t>II – em caso de impossibilidade de identificação das competências a que se refere o pagamento, aplicar-se-á a alíquota vigente na competência em que for efetuado o pagamento;</w:t>
      </w:r>
    </w:p>
    <w:p>
      <w:pPr>
        <w:pStyle w:val="Normal"/>
        <w:spacing w:lineRule="auto" w:line="360" w:before="280" w:after="100"/>
        <w:ind w:hanging="0"/>
        <w:contextualSpacing/>
        <w:jc w:val="both"/>
        <w:rPr>
          <w:rFonts w:cs="Arial"/>
        </w:rPr>
      </w:pPr>
      <w:r>
        <w:rPr>
          <w:rFonts w:ascii="Noto Serif Light" w:hAnsi="Noto Serif Light"/>
          <w:sz w:val="6"/>
          <w:szCs w:val="6"/>
        </w:rPr>
      </w:r>
    </w:p>
    <w:p>
      <w:pPr>
        <w:pStyle w:val="Normal"/>
        <w:spacing w:lineRule="auto" w:line="360" w:before="280" w:after="100"/>
        <w:contextualSpacing/>
        <w:jc w:val="both"/>
        <w:rPr>
          <w:rFonts w:ascii="Noto Serif Light" w:hAnsi="Noto Serif Light"/>
          <w:sz w:val="21"/>
          <w:szCs w:val="21"/>
        </w:rPr>
      </w:pPr>
      <w:r>
        <w:rPr>
          <w:rFonts w:cs="Arial" w:ascii="Noto Serif Light" w:hAnsi="Noto Serif Light"/>
          <w:sz w:val="21"/>
          <w:szCs w:val="21"/>
        </w:rPr>
        <w:t>III – em qualquer caso, as contribuições previdenciárias correspondentes deverão ser repassadas à unidade gestora no mesmo prazo fixado para o repasse das contribuições relativas à competência em que se efetivar o pagamento dos valores retroativos, sob pena de incidirem os acréscimos legais previstos nesta Lei.</w:t>
      </w:r>
    </w:p>
    <w:p>
      <w:pPr>
        <w:pStyle w:val="Normal"/>
        <w:spacing w:lineRule="auto" w:line="360" w:before="280" w:after="100"/>
        <w:ind w:hanging="0"/>
        <w:contextualSpacing/>
        <w:jc w:val="both"/>
        <w:rPr>
          <w:rFonts w:ascii="Noto Serif Light" w:hAnsi="Noto Serif Light" w:cs="Arial"/>
          <w:sz w:val="8"/>
          <w:szCs w:val="8"/>
        </w:rPr>
      </w:pPr>
      <w:r>
        <w:rPr>
          <w:rFonts w:cs="Arial" w:ascii="Noto Serif Light" w:hAnsi="Noto Serif Light"/>
          <w:sz w:val="8"/>
          <w:szCs w:val="8"/>
        </w:rPr>
      </w:r>
    </w:p>
    <w:p>
      <w:pPr>
        <w:pStyle w:val="Normal"/>
        <w:spacing w:lineRule="auto" w:line="360" w:before="280" w:after="100"/>
        <w:contextualSpacing/>
        <w:jc w:val="both"/>
        <w:rPr>
          <w:rFonts w:ascii="Noto Serif Light" w:hAnsi="Noto Serif Light"/>
          <w:sz w:val="21"/>
          <w:szCs w:val="21"/>
        </w:rPr>
      </w:pPr>
      <w:r>
        <w:rPr>
          <w:rFonts w:cs="Arial" w:ascii="Noto Serif Light" w:hAnsi="Noto Serif Light"/>
          <w:b/>
          <w:bCs/>
          <w:sz w:val="21"/>
          <w:szCs w:val="21"/>
        </w:rPr>
        <w:t>Art. 9º</w:t>
      </w:r>
      <w:r>
        <w:rPr>
          <w:rFonts w:cs="Arial" w:ascii="Noto Serif Light" w:hAnsi="Noto Serif Light"/>
          <w:sz w:val="21"/>
          <w:szCs w:val="21"/>
        </w:rPr>
        <w:t xml:space="preserve"> Mediante opção expressa de cada servidor ativo, poderão ser incluídas, na composição da remuneração de contribuição de que trata o art. 6º, para fins de consideração no cálculo de benefícios por regra de média, as parcelas de natureza temporária ou transitória, a título de regime suplementar, gratificações e função gratificada.</w:t>
      </w:r>
    </w:p>
    <w:p>
      <w:pPr>
        <w:pStyle w:val="Normal"/>
        <w:spacing w:lineRule="auto" w:line="360" w:before="280" w:after="100"/>
        <w:ind w:hanging="0"/>
        <w:contextualSpacing/>
        <w:jc w:val="both"/>
        <w:rPr>
          <w:rFonts w:cs="Arial"/>
        </w:rPr>
      </w:pPr>
      <w:r>
        <w:rPr>
          <w:rFonts w:ascii="Noto Serif Light" w:hAnsi="Noto Serif Light"/>
          <w:sz w:val="6"/>
          <w:szCs w:val="6"/>
        </w:rPr>
      </w:r>
    </w:p>
    <w:p>
      <w:pPr>
        <w:pStyle w:val="Normal"/>
        <w:spacing w:lineRule="auto" w:line="360" w:before="280" w:after="100"/>
        <w:contextualSpacing/>
        <w:jc w:val="both"/>
        <w:rPr>
          <w:rFonts w:ascii="Noto Serif Light" w:hAnsi="Noto Serif Light"/>
          <w:sz w:val="21"/>
          <w:szCs w:val="21"/>
        </w:rPr>
      </w:pPr>
      <w:r>
        <w:rPr>
          <w:rFonts w:cs="Arial" w:ascii="Noto Serif Light" w:hAnsi="Noto Serif Light"/>
          <w:sz w:val="21"/>
          <w:szCs w:val="21"/>
        </w:rPr>
        <w:t xml:space="preserve">§ 1º A opção de que trata o </w:t>
      </w:r>
      <w:r>
        <w:rPr>
          <w:rFonts w:cs="Arial" w:ascii="Noto Serif Light" w:hAnsi="Noto Serif Light"/>
          <w:i/>
          <w:iCs/>
          <w:sz w:val="21"/>
          <w:szCs w:val="21"/>
        </w:rPr>
        <w:t xml:space="preserve">caput </w:t>
      </w:r>
      <w:r>
        <w:rPr>
          <w:rFonts w:cs="Arial" w:ascii="Noto Serif Light" w:hAnsi="Noto Serif Light"/>
          <w:sz w:val="21"/>
          <w:szCs w:val="21"/>
        </w:rPr>
        <w:t>deve ser formalizada por escrito e por iniciativa de cada servidor ativo, relativamente a cada uma das parcelas especificadas nos seus incisos, e terá validade enquanto perdurar a percepção continuada de cada uma das parcelas ou até a opção pela sua exclusão da remuneração de contribuição, a ser também formalizada por escrito e por iniciativa de cada servidor ativo.</w:t>
      </w:r>
    </w:p>
    <w:p>
      <w:pPr>
        <w:pStyle w:val="Normal"/>
        <w:spacing w:lineRule="auto" w:line="360" w:before="280" w:after="100"/>
        <w:ind w:hanging="0"/>
        <w:contextualSpacing/>
        <w:jc w:val="both"/>
        <w:rPr>
          <w:rFonts w:cs="Arial"/>
        </w:rPr>
      </w:pPr>
      <w:r>
        <w:rPr>
          <w:rFonts w:ascii="Noto Serif Light3" w:hAnsi="Noto Serif Light3"/>
          <w:sz w:val="6"/>
          <w:szCs w:val="6"/>
        </w:rPr>
      </w:r>
    </w:p>
    <w:p>
      <w:pPr>
        <w:pStyle w:val="Normal"/>
        <w:spacing w:lineRule="auto" w:line="360" w:before="280" w:after="100"/>
        <w:contextualSpacing/>
        <w:jc w:val="both"/>
        <w:rPr>
          <w:rFonts w:ascii="Noto Serif Light" w:hAnsi="Noto Serif Light"/>
          <w:sz w:val="21"/>
          <w:szCs w:val="21"/>
        </w:rPr>
      </w:pPr>
      <w:r>
        <w:rPr>
          <w:rFonts w:cs="Arial" w:ascii="Noto Serif Light" w:hAnsi="Noto Serif Light"/>
          <w:sz w:val="21"/>
          <w:szCs w:val="21"/>
        </w:rPr>
        <w:t>§ 2º Tanto a opção pela inclusão como pela exclusão de parcelas da remuneração de contribuição, nos termos do § 1º, terá efeito na primeira competência seguinte à sua formalização e protocolo junto a respectivo Setor de Pessoal.</w:t>
      </w:r>
    </w:p>
    <w:p>
      <w:pPr>
        <w:pStyle w:val="Normal"/>
        <w:spacing w:lineRule="auto" w:line="360" w:before="280" w:after="100"/>
        <w:ind w:hanging="0"/>
        <w:contextualSpacing/>
        <w:jc w:val="both"/>
        <w:rPr>
          <w:rFonts w:cs="Arial"/>
        </w:rPr>
      </w:pPr>
      <w:r>
        <w:rPr>
          <w:rFonts w:ascii="Noto Serif Light" w:hAnsi="Noto Serif Light"/>
          <w:sz w:val="6"/>
          <w:szCs w:val="6"/>
        </w:rPr>
      </w:r>
    </w:p>
    <w:p>
      <w:pPr>
        <w:pStyle w:val="Normal"/>
        <w:spacing w:lineRule="auto" w:line="360" w:before="280" w:after="100"/>
        <w:contextualSpacing/>
        <w:jc w:val="both"/>
        <w:rPr>
          <w:rFonts w:ascii="Noto Serif Light" w:hAnsi="Noto Serif Light"/>
          <w:sz w:val="21"/>
          <w:szCs w:val="21"/>
        </w:rPr>
      </w:pPr>
      <w:r>
        <w:rPr>
          <w:rFonts w:cs="Arial" w:ascii="Noto Serif Light" w:hAnsi="Noto Serif Light"/>
          <w:sz w:val="21"/>
          <w:szCs w:val="21"/>
        </w:rPr>
        <w:t>§ 3º No caso de descontinuidade da percepção da parcela pela qual tenha o servidor ativo optado por incluir, os valores pagos na competência da exclusão, mesmo que proporcionais, serão considerados como componentes da remuneração de contribuição.</w:t>
      </w:r>
    </w:p>
    <w:p>
      <w:pPr>
        <w:pStyle w:val="Normal"/>
        <w:spacing w:lineRule="auto" w:line="360" w:before="280" w:after="100"/>
        <w:ind w:hanging="0"/>
        <w:contextualSpacing/>
        <w:jc w:val="both"/>
        <w:rPr>
          <w:rFonts w:cs="Arial"/>
        </w:rPr>
      </w:pPr>
      <w:r>
        <w:rPr>
          <w:rFonts w:ascii="Noto Serif Light" w:hAnsi="Noto Serif Light"/>
          <w:sz w:val="6"/>
          <w:szCs w:val="6"/>
        </w:rPr>
      </w:r>
    </w:p>
    <w:p>
      <w:pPr>
        <w:pStyle w:val="Normal"/>
        <w:spacing w:lineRule="auto" w:line="360" w:before="280" w:after="100"/>
        <w:contextualSpacing/>
        <w:jc w:val="both"/>
        <w:rPr>
          <w:rFonts w:ascii="Noto Serif Light" w:hAnsi="Noto Serif Light"/>
          <w:sz w:val="21"/>
          <w:szCs w:val="21"/>
        </w:rPr>
      </w:pPr>
      <w:r>
        <w:rPr>
          <w:rFonts w:cs="Arial" w:ascii="Noto Serif Light" w:hAnsi="Noto Serif Light"/>
          <w:sz w:val="21"/>
          <w:szCs w:val="21"/>
        </w:rPr>
        <w:t>§ 4º A redução do valor do subsídio ou da remuneração, por motivo de falta, licença, aplicação de pena administrativo disciplinar ou de consignações voluntárias, não implica em diminuição da base de cálculo das contribuições previdenciárias.</w:t>
      </w:r>
    </w:p>
    <w:p>
      <w:pPr>
        <w:pStyle w:val="Normal"/>
        <w:spacing w:lineRule="auto" w:line="360" w:before="280" w:after="100"/>
        <w:contextualSpacing/>
        <w:jc w:val="both"/>
        <w:rPr>
          <w:rFonts w:ascii="Noto Serif Light" w:hAnsi="Noto Serif Light"/>
          <w:sz w:val="21"/>
          <w:szCs w:val="21"/>
        </w:rPr>
      </w:pPr>
      <w:r>
        <w:rPr>
          <w:rFonts w:cs="Arial" w:ascii="Noto Serif Light" w:hAnsi="Noto Serif Light"/>
          <w:sz w:val="21"/>
          <w:szCs w:val="21"/>
        </w:rPr>
        <w:t>§ 5º No caso de servidores ativos, em acúmulo remunerado de cargos, as regras deste artigo aplicam-se a cada um dos vínculos de forma individualizada.</w:t>
      </w:r>
    </w:p>
    <w:p>
      <w:pPr>
        <w:pStyle w:val="Normal"/>
        <w:spacing w:lineRule="auto" w:line="360" w:before="280" w:after="100"/>
        <w:ind w:hanging="0"/>
        <w:contextualSpacing/>
        <w:jc w:val="both"/>
        <w:rPr>
          <w:rFonts w:ascii="Noto Serif Light" w:hAnsi="Noto Serif Light" w:cs="Arial"/>
          <w:sz w:val="12"/>
          <w:szCs w:val="12"/>
        </w:rPr>
      </w:pPr>
      <w:r>
        <w:rPr>
          <w:rFonts w:cs="Arial" w:ascii="Noto Serif Light" w:hAnsi="Noto Serif Light"/>
          <w:sz w:val="12"/>
          <w:szCs w:val="12"/>
        </w:rPr>
      </w:r>
    </w:p>
    <w:p>
      <w:pPr>
        <w:pStyle w:val="Normal"/>
        <w:spacing w:lineRule="auto" w:line="360" w:before="280" w:after="100"/>
        <w:ind w:hanging="0"/>
        <w:contextualSpacing/>
        <w:jc w:val="both"/>
        <w:rPr>
          <w:rFonts w:ascii="Noto Serif Light" w:hAnsi="Noto Serif Light" w:cs="Arial"/>
          <w:sz w:val="12"/>
          <w:szCs w:val="12"/>
        </w:rPr>
      </w:pPr>
      <w:r>
        <w:rPr>
          <w:rFonts w:cs="Arial" w:ascii="Noto Serif Light" w:hAnsi="Noto Serif Light"/>
          <w:sz w:val="12"/>
          <w:szCs w:val="12"/>
        </w:rPr>
      </w:r>
    </w:p>
    <w:p>
      <w:pPr>
        <w:pStyle w:val="Normal"/>
        <w:spacing w:lineRule="auto" w:line="360" w:before="280" w:after="100"/>
        <w:contextualSpacing/>
        <w:jc w:val="center"/>
        <w:rPr>
          <w:rFonts w:ascii="Noto Serif Light" w:hAnsi="Noto Serif Light"/>
          <w:b/>
          <w:b/>
          <w:bCs/>
          <w:sz w:val="21"/>
          <w:szCs w:val="21"/>
        </w:rPr>
      </w:pPr>
      <w:r>
        <w:rPr>
          <w:rFonts w:cs="Arial" w:ascii="Noto Serif Light" w:hAnsi="Noto Serif Light"/>
          <w:b/>
          <w:bCs/>
          <w:sz w:val="21"/>
          <w:szCs w:val="21"/>
        </w:rPr>
        <w:t>TÍTULO III</w:t>
      </w:r>
    </w:p>
    <w:p>
      <w:pPr>
        <w:pStyle w:val="Normal"/>
        <w:spacing w:lineRule="auto" w:line="360" w:before="280" w:after="100"/>
        <w:contextualSpacing/>
        <w:jc w:val="center"/>
        <w:rPr>
          <w:rFonts w:ascii="Noto Serif Light" w:hAnsi="Noto Serif Light"/>
          <w:b/>
          <w:b/>
          <w:bCs/>
          <w:sz w:val="21"/>
          <w:szCs w:val="21"/>
        </w:rPr>
      </w:pPr>
      <w:r>
        <w:rPr>
          <w:rFonts w:cs="Arial" w:ascii="Noto Serif Light" w:hAnsi="Noto Serif Light"/>
          <w:b/>
          <w:bCs/>
          <w:sz w:val="21"/>
          <w:szCs w:val="21"/>
        </w:rPr>
        <w:t>DA RESERVA ADMINISTRATIVA</w:t>
      </w:r>
    </w:p>
    <w:p>
      <w:pPr>
        <w:pStyle w:val="Normal"/>
        <w:spacing w:lineRule="auto" w:line="360" w:before="280" w:after="100"/>
        <w:contextualSpacing/>
        <w:jc w:val="both"/>
        <w:rPr>
          <w:rFonts w:ascii="Noto Serif Light" w:hAnsi="Noto Serif Light" w:cs="Arial"/>
          <w:sz w:val="6"/>
          <w:szCs w:val="6"/>
        </w:rPr>
      </w:pPr>
      <w:r>
        <w:rPr>
          <w:rFonts w:cs="Arial" w:ascii="Noto Serif Light" w:hAnsi="Noto Serif Light"/>
          <w:sz w:val="6"/>
          <w:szCs w:val="6"/>
        </w:rPr>
      </w:r>
    </w:p>
    <w:p>
      <w:pPr>
        <w:pStyle w:val="Normal"/>
        <w:spacing w:lineRule="auto" w:line="360" w:before="280" w:after="100"/>
        <w:contextualSpacing/>
        <w:jc w:val="both"/>
        <w:rPr>
          <w:rFonts w:ascii="Noto Serif Light" w:hAnsi="Noto Serif Light"/>
          <w:sz w:val="21"/>
          <w:szCs w:val="21"/>
        </w:rPr>
      </w:pPr>
      <w:r>
        <w:rPr>
          <w:rFonts w:cs="Arial" w:ascii="Noto Serif Light" w:hAnsi="Noto Serif Light"/>
          <w:sz w:val="21"/>
          <w:szCs w:val="21"/>
        </w:rPr>
        <w:tab/>
      </w:r>
      <w:r>
        <w:rPr>
          <w:rFonts w:cs="Arial" w:ascii="Noto Serif Light" w:hAnsi="Noto Serif Light"/>
          <w:b/>
          <w:bCs/>
          <w:sz w:val="21"/>
          <w:szCs w:val="21"/>
        </w:rPr>
        <w:t xml:space="preserve">Art. 10. </w:t>
      </w:r>
      <w:r>
        <w:rPr>
          <w:rFonts w:cs="Arial" w:ascii="Noto Serif Light" w:hAnsi="Noto Serif Light"/>
          <w:sz w:val="21"/>
          <w:szCs w:val="21"/>
        </w:rPr>
        <w:t xml:space="preserve">A reserva administrativa, destinada ao custeio das despesas correntes e de capital necessária à organização e ao funcionamento do RPPS, inclusive para conservação de seu patrimônio, será formada pelos recursos da taxa de administração, que é limitada em 2% (dois por cento), calculada sobre o valor total das remunerações brutas pagas aos servidores ativos, inativos e pensionistas no exercício anterior, cuja alíquota será incluída no custeio de que trata o inciso I do art. 2º desta Lei, conforme taxa de administração definida na avaliação atuarial. </w:t>
      </w:r>
    </w:p>
    <w:p>
      <w:pPr>
        <w:pStyle w:val="Normal"/>
        <w:spacing w:lineRule="auto" w:line="360" w:before="280" w:after="100"/>
        <w:ind w:hanging="0"/>
        <w:contextualSpacing/>
        <w:jc w:val="both"/>
        <w:rPr>
          <w:rFonts w:ascii="Noto Serif Light" w:hAnsi="Noto Serif Light" w:cs="Arial"/>
          <w:sz w:val="6"/>
          <w:szCs w:val="6"/>
        </w:rPr>
      </w:pPr>
      <w:r>
        <w:rPr>
          <w:rFonts w:cs="Arial" w:ascii="Noto Serif Light" w:hAnsi="Noto Serif Light"/>
          <w:sz w:val="6"/>
          <w:szCs w:val="6"/>
        </w:rPr>
      </w:r>
    </w:p>
    <w:p>
      <w:pPr>
        <w:pStyle w:val="Normal"/>
        <w:spacing w:lineRule="auto" w:line="360" w:before="280" w:after="100"/>
        <w:contextualSpacing/>
        <w:jc w:val="both"/>
        <w:rPr>
          <w:rFonts w:ascii="Noto Serif Light" w:hAnsi="Noto Serif Light"/>
          <w:sz w:val="21"/>
          <w:szCs w:val="21"/>
        </w:rPr>
      </w:pPr>
      <w:r>
        <w:rPr>
          <w:rFonts w:cs="Arial" w:ascii="Noto Serif Light" w:hAnsi="Noto Serif Light"/>
          <w:b/>
          <w:bCs/>
          <w:sz w:val="21"/>
          <w:szCs w:val="21"/>
        </w:rPr>
        <w:t>Art. 11</w:t>
      </w:r>
      <w:r>
        <w:rPr>
          <w:rFonts w:cs="Arial" w:ascii="Noto Serif Light" w:hAnsi="Noto Serif Light"/>
          <w:sz w:val="21"/>
          <w:szCs w:val="21"/>
        </w:rPr>
        <w:t>. Integram a reserva administrativa, além dos recursos da taxa de administração fixada no art. 10,</w:t>
      </w:r>
      <w:r>
        <w:rPr>
          <w:rFonts w:cs="Arial" w:ascii="Noto Serif Light" w:hAnsi="Noto Serif Light"/>
          <w:color w:val="FF0000"/>
          <w:sz w:val="21"/>
          <w:szCs w:val="21"/>
        </w:rPr>
        <w:t xml:space="preserve"> </w:t>
      </w:r>
      <w:r>
        <w:rPr>
          <w:rFonts w:cs="Arial" w:ascii="Noto Serif Light" w:hAnsi="Noto Serif Light"/>
          <w:sz w:val="21"/>
          <w:szCs w:val="21"/>
        </w:rPr>
        <w:t xml:space="preserve">as sobras de custeio administrativo apurada ao final de cada exercício e os rendimentos mensais por eles auferidos. </w:t>
      </w:r>
    </w:p>
    <w:p>
      <w:pPr>
        <w:pStyle w:val="Normal"/>
        <w:spacing w:lineRule="auto" w:line="360" w:before="280" w:after="100"/>
        <w:contextualSpacing/>
        <w:jc w:val="both"/>
        <w:rPr>
          <w:rFonts w:ascii="Noto Serif Light" w:hAnsi="Noto Serif Light"/>
          <w:sz w:val="21"/>
          <w:szCs w:val="21"/>
        </w:rPr>
      </w:pPr>
      <w:r>
        <w:rPr>
          <w:rFonts w:cs="Arial" w:ascii="Noto Serif Light" w:hAnsi="Noto Serif Light"/>
          <w:b/>
          <w:bCs/>
          <w:sz w:val="21"/>
          <w:szCs w:val="21"/>
        </w:rPr>
        <w:t xml:space="preserve">Parágrafo </w:t>
      </w:r>
      <w:r>
        <w:rPr>
          <w:rFonts w:cs="Arial" w:ascii="Noto Serif Light" w:hAnsi="Noto Serif Light"/>
          <w:b/>
          <w:bCs/>
          <w:sz w:val="21"/>
          <w:szCs w:val="21"/>
        </w:rPr>
        <w:t>ú</w:t>
      </w:r>
      <w:r>
        <w:rPr>
          <w:rFonts w:cs="Arial" w:ascii="Noto Serif Light" w:hAnsi="Noto Serif Light"/>
          <w:b/>
          <w:bCs/>
          <w:sz w:val="21"/>
          <w:szCs w:val="21"/>
        </w:rPr>
        <w:t>nico</w:t>
      </w:r>
      <w:r>
        <w:rPr>
          <w:rFonts w:cs="Arial" w:ascii="Noto Serif Light" w:hAnsi="Noto Serif Light"/>
          <w:sz w:val="21"/>
          <w:szCs w:val="21"/>
        </w:rPr>
        <w:t>. As sobras de custeio administrativo poderão ser revertidas, total ou parcialmente, para o fundo previdenciário, desde que previamente autorizadas pelo Conselho Municipal de Previdência, ao final de cada exercício.</w:t>
      </w:r>
    </w:p>
    <w:p>
      <w:pPr>
        <w:pStyle w:val="Normal"/>
        <w:spacing w:lineRule="auto" w:line="360" w:before="280" w:after="100"/>
        <w:contextualSpacing/>
        <w:jc w:val="both"/>
        <w:rPr>
          <w:rFonts w:cs="Arial"/>
        </w:rPr>
      </w:pPr>
      <w:r>
        <w:rPr>
          <w:rFonts w:ascii="Noto Serif Light" w:hAnsi="Noto Serif Light"/>
          <w:sz w:val="6"/>
          <w:szCs w:val="6"/>
        </w:rPr>
      </w:r>
    </w:p>
    <w:p>
      <w:pPr>
        <w:pStyle w:val="Normal"/>
        <w:spacing w:lineRule="auto" w:line="360" w:before="280" w:after="100"/>
        <w:contextualSpacing/>
        <w:jc w:val="center"/>
        <w:rPr>
          <w:rFonts w:ascii="Noto Serif Light" w:hAnsi="Noto Serif Light"/>
          <w:b/>
          <w:b/>
          <w:bCs/>
          <w:sz w:val="21"/>
          <w:szCs w:val="21"/>
        </w:rPr>
      </w:pPr>
      <w:r>
        <w:rPr>
          <w:rFonts w:cs="Arial" w:ascii="Noto Serif Light" w:hAnsi="Noto Serif Light"/>
          <w:b/>
          <w:bCs/>
          <w:sz w:val="21"/>
          <w:szCs w:val="21"/>
        </w:rPr>
        <w:t>TÍTULO IV</w:t>
      </w:r>
    </w:p>
    <w:p>
      <w:pPr>
        <w:pStyle w:val="Normal"/>
        <w:spacing w:lineRule="auto" w:line="360" w:before="280" w:after="100"/>
        <w:contextualSpacing/>
        <w:jc w:val="center"/>
        <w:rPr>
          <w:rFonts w:ascii="Noto Serif Light" w:hAnsi="Noto Serif Light"/>
          <w:sz w:val="21"/>
          <w:szCs w:val="21"/>
        </w:rPr>
      </w:pPr>
      <w:r>
        <w:rPr>
          <w:rFonts w:cs="Arial" w:ascii="Noto Serif Light" w:hAnsi="Noto Serif Light"/>
          <w:b/>
          <w:bCs/>
          <w:sz w:val="21"/>
          <w:szCs w:val="21"/>
        </w:rPr>
        <w:t>DO EQUACIONAMENTO DO DEFICIT ATUARIAL</w:t>
      </w:r>
    </w:p>
    <w:p>
      <w:pPr>
        <w:pStyle w:val="Normal"/>
        <w:spacing w:lineRule="auto" w:line="360" w:before="280" w:after="100"/>
        <w:jc w:val="both"/>
        <w:rPr>
          <w:rFonts w:ascii="Noto Serif Light" w:hAnsi="Noto Serif Light"/>
          <w:sz w:val="21"/>
          <w:szCs w:val="21"/>
        </w:rPr>
      </w:pPr>
      <w:r>
        <w:rPr>
          <w:rFonts w:cs="Arial" w:ascii="Noto Serif Light" w:hAnsi="Noto Serif Light"/>
          <w:b/>
          <w:bCs/>
          <w:sz w:val="21"/>
          <w:szCs w:val="21"/>
        </w:rPr>
        <w:t>Art. 12</w:t>
      </w:r>
      <w:r>
        <w:rPr>
          <w:rFonts w:cs="Arial" w:ascii="Noto Serif Light" w:hAnsi="Noto Serif Light"/>
          <w:sz w:val="21"/>
          <w:szCs w:val="21"/>
        </w:rPr>
        <w:t xml:space="preserve"> Adicionalmente à contribuição prevista no inciso I do art. 2º desta Lei, todos os poderes e órgãos do Município, incluídas suas autarquias e fundações, a título de recuperação do passivo atuarial e financeiro, contribuirão com alíquota definida em avaliação atuarial, incidente sobre a totalidade da remuneração de contribuição dos servidores ativos, inativos e pensionistas. </w:t>
      </w:r>
    </w:p>
    <w:p>
      <w:pPr>
        <w:pStyle w:val="Normal"/>
        <w:spacing w:lineRule="auto" w:line="360" w:before="280" w:after="100"/>
        <w:jc w:val="both"/>
        <w:rPr>
          <w:rFonts w:ascii="Noto Serif Light" w:hAnsi="Noto Serif Light"/>
          <w:sz w:val="21"/>
          <w:szCs w:val="21"/>
        </w:rPr>
      </w:pPr>
      <w:r>
        <w:rPr>
          <w:rFonts w:cs="Arial" w:ascii="Noto Serif Light" w:hAnsi="Noto Serif Light"/>
          <w:b/>
          <w:bCs/>
          <w:sz w:val="21"/>
          <w:szCs w:val="21"/>
        </w:rPr>
        <w:t>Art. 13.</w:t>
      </w:r>
      <w:r>
        <w:rPr>
          <w:rFonts w:cs="Arial" w:ascii="Noto Serif Light" w:hAnsi="Noto Serif Light"/>
          <w:sz w:val="21"/>
          <w:szCs w:val="21"/>
        </w:rPr>
        <w:t xml:space="preserve"> O plano de amortização do deficit atuarial</w:t>
      </w:r>
      <w:r>
        <w:rPr>
          <w:rFonts w:cs="Arial" w:ascii="Noto Serif Light" w:hAnsi="Noto Serif Light"/>
          <w:color w:val="FF0000"/>
          <w:sz w:val="21"/>
          <w:szCs w:val="21"/>
        </w:rPr>
        <w:t xml:space="preserve"> </w:t>
      </w:r>
      <w:r>
        <w:rPr>
          <w:rFonts w:cs="Arial" w:ascii="Noto Serif Light" w:hAnsi="Noto Serif Light"/>
          <w:sz w:val="21"/>
          <w:szCs w:val="21"/>
        </w:rPr>
        <w:t>é definido conforme Anexo I desta lei, podendo ser em forma de alíquota ou aportes, a ser revisto anualmente, de acordo com a avaliação atuarial anual devidamente aprovada pelo Conselho Municipal de Previdência.</w:t>
      </w:r>
    </w:p>
    <w:p>
      <w:pPr>
        <w:pStyle w:val="Normal"/>
        <w:spacing w:lineRule="auto" w:line="360" w:before="280" w:after="100"/>
        <w:ind w:hanging="0"/>
        <w:contextualSpacing/>
        <w:jc w:val="both"/>
        <w:rPr>
          <w:rFonts w:ascii="Noto Serif Light" w:hAnsi="Noto Serif Light" w:cs="Arial"/>
          <w:sz w:val="6"/>
          <w:szCs w:val="6"/>
        </w:rPr>
      </w:pPr>
      <w:r>
        <w:rPr>
          <w:rFonts w:cs="Arial" w:ascii="Noto Serif Light" w:hAnsi="Noto Serif Light"/>
          <w:sz w:val="6"/>
          <w:szCs w:val="6"/>
        </w:rPr>
      </w:r>
    </w:p>
    <w:p>
      <w:pPr>
        <w:pStyle w:val="Normal"/>
        <w:spacing w:lineRule="auto" w:line="360" w:before="280" w:after="100"/>
        <w:contextualSpacing/>
        <w:jc w:val="center"/>
        <w:rPr>
          <w:rFonts w:ascii="Noto Serif Light" w:hAnsi="Noto Serif Light"/>
          <w:b/>
          <w:b/>
          <w:bCs/>
          <w:sz w:val="21"/>
          <w:szCs w:val="21"/>
        </w:rPr>
      </w:pPr>
      <w:r>
        <w:rPr>
          <w:rFonts w:cs="Arial" w:ascii="Noto Serif Light" w:hAnsi="Noto Serif Light"/>
          <w:b/>
          <w:bCs/>
          <w:sz w:val="21"/>
          <w:szCs w:val="21"/>
        </w:rPr>
        <w:t>TÍTULO V</w:t>
      </w:r>
    </w:p>
    <w:p>
      <w:pPr>
        <w:pStyle w:val="Normal"/>
        <w:spacing w:lineRule="auto" w:line="360" w:before="280" w:after="100"/>
        <w:contextualSpacing/>
        <w:jc w:val="center"/>
        <w:rPr>
          <w:rFonts w:ascii="Noto Serif Light" w:hAnsi="Noto Serif Light"/>
          <w:b/>
          <w:b/>
          <w:bCs/>
          <w:sz w:val="21"/>
          <w:szCs w:val="21"/>
        </w:rPr>
      </w:pPr>
      <w:r>
        <w:rPr>
          <w:rFonts w:cs="Arial" w:ascii="Noto Serif Light" w:hAnsi="Noto Serif Light"/>
          <w:b/>
          <w:bCs/>
          <w:sz w:val="21"/>
          <w:szCs w:val="21"/>
        </w:rPr>
        <w:t>DA ARRECADAÇÃO E DO RECOLHIMENTO DAS CONTRIBUIÇÕES</w:t>
      </w:r>
    </w:p>
    <w:p>
      <w:pPr>
        <w:pStyle w:val="Normal"/>
        <w:spacing w:lineRule="auto" w:line="360" w:before="280" w:after="100"/>
        <w:ind w:hanging="0"/>
        <w:contextualSpacing/>
        <w:jc w:val="center"/>
        <w:rPr>
          <w:rFonts w:cs="Arial"/>
        </w:rPr>
      </w:pPr>
      <w:r>
        <w:rPr>
          <w:rFonts w:ascii="Noto Serif Light" w:hAnsi="Noto Serif Light"/>
          <w:b/>
          <w:bCs/>
          <w:sz w:val="10"/>
          <w:szCs w:val="10"/>
        </w:rPr>
      </w:r>
    </w:p>
    <w:p>
      <w:pPr>
        <w:pStyle w:val="Normal"/>
        <w:spacing w:lineRule="auto" w:line="360" w:before="280" w:after="100"/>
        <w:contextualSpacing/>
        <w:jc w:val="both"/>
        <w:rPr>
          <w:rFonts w:ascii="Noto Serif Light" w:hAnsi="Noto Serif Light"/>
          <w:sz w:val="21"/>
          <w:szCs w:val="21"/>
        </w:rPr>
      </w:pPr>
      <w:r>
        <w:rPr>
          <w:rFonts w:cs="Arial" w:ascii="Noto Serif Light" w:hAnsi="Noto Serif Light"/>
          <w:b/>
          <w:bCs/>
          <w:sz w:val="21"/>
          <w:szCs w:val="21"/>
        </w:rPr>
        <w:t>Art. 14</w:t>
      </w:r>
      <w:r>
        <w:rPr>
          <w:rFonts w:cs="Arial" w:ascii="Noto Serif Light" w:hAnsi="Noto Serif Light"/>
          <w:sz w:val="21"/>
          <w:szCs w:val="21"/>
        </w:rPr>
        <w:t>. A arrecadação e o recolhimento mensal das contribuições ou de outras importâncias devidas ao RPPS, pelo ente público ou pelo órgão que promover a sua retenção, devem ser feitas até o último dia útil do mês do fato gerador àquele que as contribuições se referirem.</w:t>
      </w:r>
    </w:p>
    <w:p>
      <w:pPr>
        <w:pStyle w:val="Normal"/>
        <w:spacing w:lineRule="auto" w:line="360" w:before="280" w:after="100"/>
        <w:contextualSpacing/>
        <w:jc w:val="both"/>
        <w:rPr>
          <w:rFonts w:ascii="Noto Serif Light" w:hAnsi="Noto Serif Light"/>
          <w:sz w:val="21"/>
          <w:szCs w:val="21"/>
        </w:rPr>
      </w:pPr>
      <w:r>
        <w:rPr>
          <w:rFonts w:cs="Arial" w:ascii="Noto Serif Light" w:hAnsi="Noto Serif Light"/>
          <w:b/>
          <w:bCs/>
          <w:sz w:val="21"/>
          <w:szCs w:val="21"/>
        </w:rPr>
        <w:t>Parágrafo único</w:t>
      </w:r>
      <w:r>
        <w:rPr>
          <w:rFonts w:cs="Arial" w:ascii="Noto Serif Light" w:hAnsi="Noto Serif Light"/>
          <w:sz w:val="21"/>
          <w:szCs w:val="21"/>
        </w:rPr>
        <w:t>.</w:t>
      </w:r>
      <w:r>
        <w:rPr>
          <w:rFonts w:cs="Arial" w:ascii="Noto Serif Light" w:hAnsi="Noto Serif Light"/>
          <w:sz w:val="21"/>
          <w:szCs w:val="21"/>
        </w:rPr>
        <w:t xml:space="preserve"> Nos recolhimentos em atraso das contribuições, os valores serão atualizados de acordo com o a variação do IPC-A – Índice de Preços ao Consumidor Amplo, ou em caso de extinção deste, pelo índice oficial que vier a substituí-lo, e será aplicada multa de 1% (um por cento) e juros de 12% (doze por cento) ao ano sobre o valor da parcela em atraso. </w:t>
      </w:r>
    </w:p>
    <w:p>
      <w:pPr>
        <w:pStyle w:val="Normal"/>
        <w:spacing w:lineRule="auto" w:line="360" w:before="280" w:after="100"/>
        <w:ind w:hanging="0"/>
        <w:contextualSpacing/>
        <w:jc w:val="both"/>
        <w:rPr>
          <w:rFonts w:ascii="Noto Serif Light" w:hAnsi="Noto Serif Light" w:cs="Arial"/>
          <w:sz w:val="8"/>
          <w:szCs w:val="8"/>
        </w:rPr>
      </w:pPr>
      <w:r>
        <w:rPr>
          <w:rFonts w:cs="Arial" w:ascii="Noto Serif Light" w:hAnsi="Noto Serif Light"/>
          <w:sz w:val="8"/>
          <w:szCs w:val="8"/>
        </w:rPr>
      </w:r>
    </w:p>
    <w:p>
      <w:pPr>
        <w:pStyle w:val="Normal"/>
        <w:spacing w:lineRule="auto" w:line="360" w:before="280" w:after="100"/>
        <w:contextualSpacing/>
        <w:jc w:val="both"/>
        <w:rPr>
          <w:rFonts w:ascii="Noto Serif Light" w:hAnsi="Noto Serif Light"/>
          <w:sz w:val="21"/>
          <w:szCs w:val="21"/>
        </w:rPr>
      </w:pPr>
      <w:r>
        <w:rPr>
          <w:rFonts w:cs="Arial" w:ascii="Noto Serif Light" w:hAnsi="Noto Serif Light"/>
          <w:b/>
          <w:bCs/>
          <w:sz w:val="21"/>
          <w:szCs w:val="21"/>
        </w:rPr>
        <w:t>Art. 15.</w:t>
      </w:r>
      <w:r>
        <w:rPr>
          <w:rFonts w:cs="Arial" w:ascii="Noto Serif Light" w:hAnsi="Noto Serif Light"/>
          <w:sz w:val="21"/>
          <w:szCs w:val="21"/>
        </w:rPr>
        <w:t xml:space="preserve"> No caso de servidores cedidos e afastados para cumprimento de mandato eletivo/cedência com ônus para outro ente, cabe ao Município informar à entidade responsável pelo recolhimento o valor da remuneração de contribuição a ser considerada para o cálculo das contribuições.</w:t>
      </w:r>
    </w:p>
    <w:p>
      <w:pPr>
        <w:pStyle w:val="Normal"/>
        <w:spacing w:lineRule="auto" w:line="360" w:before="280" w:after="100"/>
        <w:ind w:hanging="0"/>
        <w:contextualSpacing/>
        <w:jc w:val="both"/>
        <w:rPr>
          <w:rFonts w:ascii="Noto Serif Light" w:hAnsi="Noto Serif Light" w:cs="Arial"/>
          <w:sz w:val="12"/>
          <w:szCs w:val="12"/>
        </w:rPr>
      </w:pPr>
      <w:r>
        <w:rPr>
          <w:rFonts w:cs="Arial" w:ascii="Noto Serif Light" w:hAnsi="Noto Serif Light"/>
          <w:sz w:val="12"/>
          <w:szCs w:val="12"/>
        </w:rPr>
      </w:r>
    </w:p>
    <w:p>
      <w:pPr>
        <w:pStyle w:val="Normal"/>
        <w:spacing w:lineRule="auto" w:line="240" w:before="280" w:after="100"/>
        <w:contextualSpacing/>
        <w:jc w:val="center"/>
        <w:rPr>
          <w:rFonts w:ascii="Noto Serif Light" w:hAnsi="Noto Serif Light"/>
          <w:sz w:val="21"/>
          <w:szCs w:val="21"/>
        </w:rPr>
      </w:pPr>
      <w:r>
        <w:rPr>
          <w:rFonts w:cs="Arial" w:ascii="Noto Serif Light" w:hAnsi="Noto Serif Light"/>
          <w:b/>
          <w:bCs/>
          <w:sz w:val="21"/>
          <w:szCs w:val="21"/>
        </w:rPr>
        <w:t>TÍTULO VI</w:t>
      </w:r>
    </w:p>
    <w:p>
      <w:pPr>
        <w:pStyle w:val="Normal"/>
        <w:spacing w:lineRule="auto" w:line="240" w:before="280" w:after="280"/>
        <w:jc w:val="center"/>
        <w:rPr>
          <w:rFonts w:ascii="Noto Serif Light" w:hAnsi="Noto Serif Light"/>
          <w:b/>
          <w:b/>
          <w:bCs/>
          <w:sz w:val="21"/>
          <w:szCs w:val="21"/>
        </w:rPr>
      </w:pPr>
      <w:r>
        <w:rPr>
          <w:rFonts w:cs="Arial" w:ascii="Noto Serif Light" w:hAnsi="Noto Serif Light"/>
          <w:b/>
          <w:bCs/>
          <w:sz w:val="21"/>
          <w:szCs w:val="21"/>
        </w:rPr>
        <w:t>DOS PARCELAMENTOS</w:t>
      </w:r>
    </w:p>
    <w:p>
      <w:pPr>
        <w:pStyle w:val="Normal"/>
        <w:spacing w:lineRule="auto" w:line="360" w:before="280" w:after="100"/>
        <w:contextualSpacing/>
        <w:jc w:val="both"/>
        <w:rPr>
          <w:rFonts w:ascii="Noto Serif Light" w:hAnsi="Noto Serif Light"/>
          <w:sz w:val="21"/>
          <w:szCs w:val="21"/>
        </w:rPr>
      </w:pPr>
      <w:r>
        <w:rPr>
          <w:rFonts w:cs="Arial" w:ascii="Noto Serif Light" w:hAnsi="Noto Serif Light"/>
          <w:sz w:val="21"/>
          <w:szCs w:val="21"/>
        </w:rPr>
        <w:tab/>
      </w:r>
      <w:r>
        <w:rPr>
          <w:rFonts w:cs="Arial" w:ascii="Noto Serif Light" w:hAnsi="Noto Serif Light"/>
          <w:b/>
          <w:bCs/>
          <w:sz w:val="21"/>
          <w:szCs w:val="21"/>
        </w:rPr>
        <w:t>Art. 16.</w:t>
      </w:r>
      <w:r>
        <w:rPr>
          <w:rFonts w:cs="Arial" w:ascii="Noto Serif Light" w:hAnsi="Noto Serif Light"/>
          <w:sz w:val="21"/>
          <w:szCs w:val="21"/>
        </w:rPr>
        <w:t xml:space="preserve"> As contribuições devidas e não pagas pelo Poder Executivo, Poder Legislativo, suas autarquias e fundações, poderão ser objeto de parcelamento, consoante regramento federal, hipótese em que, os valores serão consolidados observados os critérios de atualização e de incidência de multa e juros definidos no art. 14, aplicando-se, a partir da consolidação, a mesma regra para as parcelas vincendas e vencidas.</w:t>
      </w:r>
    </w:p>
    <w:p>
      <w:pPr>
        <w:pStyle w:val="Normal"/>
        <w:spacing w:lineRule="auto" w:line="360" w:before="280" w:after="100"/>
        <w:ind w:hanging="0"/>
        <w:contextualSpacing/>
        <w:jc w:val="both"/>
        <w:rPr>
          <w:rFonts w:ascii="Noto Serif Light" w:hAnsi="Noto Serif Light" w:cs="Arial"/>
          <w:sz w:val="10"/>
          <w:szCs w:val="10"/>
        </w:rPr>
      </w:pPr>
      <w:r>
        <w:rPr>
          <w:rFonts w:cs="Arial" w:ascii="Noto Serif Light" w:hAnsi="Noto Serif Light"/>
          <w:sz w:val="10"/>
          <w:szCs w:val="10"/>
        </w:rPr>
      </w:r>
    </w:p>
    <w:p>
      <w:pPr>
        <w:pStyle w:val="Normal"/>
        <w:spacing w:lineRule="auto" w:line="360" w:before="280" w:after="100"/>
        <w:contextualSpacing/>
        <w:jc w:val="both"/>
        <w:rPr>
          <w:rFonts w:ascii="Noto Serif Light" w:hAnsi="Noto Serif Light"/>
          <w:sz w:val="21"/>
          <w:szCs w:val="21"/>
        </w:rPr>
      </w:pPr>
      <w:r>
        <w:rPr>
          <w:rFonts w:cs="Arial" w:ascii="Noto Serif Light" w:hAnsi="Noto Serif Light"/>
          <w:b/>
          <w:bCs/>
          <w:sz w:val="21"/>
          <w:szCs w:val="21"/>
        </w:rPr>
        <w:t>Art. 17.</w:t>
      </w:r>
      <w:r>
        <w:rPr>
          <w:rFonts w:cs="Arial" w:ascii="Noto Serif Light" w:hAnsi="Noto Serif Light"/>
          <w:sz w:val="21"/>
          <w:szCs w:val="21"/>
        </w:rPr>
        <w:t xml:space="preserve"> Ocorrendo pagamento em atraso das parcelas estabelecidas em parcelamento, além da atualização e do cálculo dos juros, na forma do art. 14, será aplicada multa de 1% (um por cento)</w:t>
      </w:r>
      <w:r>
        <w:rPr>
          <w:rFonts w:cs="Arial" w:ascii="Noto Serif Light" w:hAnsi="Noto Serif Light"/>
          <w:color w:val="FF0000"/>
          <w:sz w:val="21"/>
          <w:szCs w:val="21"/>
        </w:rPr>
        <w:t xml:space="preserve">, </w:t>
      </w:r>
      <w:r>
        <w:rPr>
          <w:rFonts w:cs="Arial" w:ascii="Noto Serif Light" w:hAnsi="Noto Serif Light"/>
          <w:sz w:val="21"/>
          <w:szCs w:val="21"/>
        </w:rPr>
        <w:t>e juros de 6% (seis por cento) ao ano sobre o valor da parcela em atraso.</w:t>
      </w:r>
    </w:p>
    <w:p>
      <w:pPr>
        <w:pStyle w:val="Normal"/>
        <w:spacing w:lineRule="auto" w:line="360" w:before="280" w:after="100"/>
        <w:ind w:hanging="0"/>
        <w:contextualSpacing/>
        <w:jc w:val="both"/>
        <w:rPr>
          <w:rFonts w:cs="Arial"/>
        </w:rPr>
      </w:pPr>
      <w:r>
        <w:rPr>
          <w:rFonts w:ascii="Noto Serif Light" w:hAnsi="Noto Serif Light"/>
          <w:sz w:val="10"/>
          <w:szCs w:val="10"/>
        </w:rPr>
      </w:r>
    </w:p>
    <w:p>
      <w:pPr>
        <w:pStyle w:val="Normal"/>
        <w:spacing w:lineRule="auto" w:line="360" w:before="280" w:after="100"/>
        <w:ind w:hanging="0"/>
        <w:contextualSpacing/>
        <w:jc w:val="center"/>
        <w:rPr>
          <w:rFonts w:ascii="Noto Serif Light" w:hAnsi="Noto Serif Light"/>
          <w:b/>
          <w:b/>
          <w:bCs/>
          <w:sz w:val="21"/>
          <w:szCs w:val="21"/>
        </w:rPr>
      </w:pPr>
      <w:r>
        <w:rPr>
          <w:rFonts w:cs="Arial" w:ascii="Noto Serif Light" w:hAnsi="Noto Serif Light"/>
          <w:b/>
          <w:bCs/>
          <w:sz w:val="21"/>
          <w:szCs w:val="21"/>
        </w:rPr>
        <w:t>TÍTULO VII</w:t>
      </w:r>
    </w:p>
    <w:p>
      <w:pPr>
        <w:pStyle w:val="Normal"/>
        <w:spacing w:lineRule="auto" w:line="360" w:before="280" w:after="100"/>
        <w:ind w:hanging="0"/>
        <w:contextualSpacing/>
        <w:jc w:val="center"/>
        <w:rPr>
          <w:rFonts w:ascii="Noto Serif Light" w:hAnsi="Noto Serif Light"/>
          <w:b/>
          <w:b/>
          <w:bCs/>
          <w:sz w:val="21"/>
          <w:szCs w:val="21"/>
        </w:rPr>
      </w:pPr>
      <w:r>
        <w:rPr>
          <w:rFonts w:cs="Arial" w:ascii="Noto Serif Light" w:hAnsi="Noto Serif Light"/>
          <w:b/>
          <w:bCs/>
          <w:sz w:val="21"/>
          <w:szCs w:val="21"/>
        </w:rPr>
        <w:t>DAS DISPOSIÇÕES FINAIS</w:t>
      </w:r>
    </w:p>
    <w:p>
      <w:pPr>
        <w:pStyle w:val="Normal"/>
        <w:spacing w:lineRule="auto" w:line="360" w:before="280" w:after="100"/>
        <w:ind w:hanging="0"/>
        <w:contextualSpacing/>
        <w:jc w:val="both"/>
        <w:rPr>
          <w:rFonts w:ascii="Noto Serif Light" w:hAnsi="Noto Serif Light" w:cs="Arial"/>
          <w:sz w:val="21"/>
          <w:szCs w:val="21"/>
        </w:rPr>
      </w:pPr>
      <w:r>
        <w:rPr>
          <w:rFonts w:cs="Arial" w:ascii="Noto Serif Light" w:hAnsi="Noto Serif Light"/>
          <w:sz w:val="21"/>
          <w:szCs w:val="21"/>
        </w:rPr>
      </w:r>
    </w:p>
    <w:p>
      <w:pPr>
        <w:pStyle w:val="Normal"/>
        <w:spacing w:lineRule="auto" w:line="360" w:before="280" w:after="100"/>
        <w:ind w:hanging="0"/>
        <w:contextualSpacing/>
        <w:jc w:val="both"/>
        <w:rPr>
          <w:rFonts w:ascii="Noto Serif Light" w:hAnsi="Noto Serif Light"/>
          <w:sz w:val="21"/>
          <w:szCs w:val="21"/>
        </w:rPr>
      </w:pPr>
      <w:r>
        <w:rPr>
          <w:rFonts w:cs="Arial" w:ascii="Noto Serif Light" w:hAnsi="Noto Serif Light"/>
          <w:sz w:val="21"/>
          <w:szCs w:val="21"/>
        </w:rPr>
        <w:tab/>
      </w:r>
      <w:r>
        <w:rPr>
          <w:rFonts w:cs="Arial" w:ascii="Noto Serif Light" w:hAnsi="Noto Serif Light"/>
          <w:b/>
          <w:bCs/>
          <w:sz w:val="21"/>
          <w:szCs w:val="21"/>
        </w:rPr>
        <w:t>Art. 18</w:t>
      </w:r>
      <w:r>
        <w:rPr>
          <w:rFonts w:cs="Arial" w:ascii="Noto Serif Light" w:hAnsi="Noto Serif Light"/>
          <w:sz w:val="21"/>
          <w:szCs w:val="21"/>
        </w:rPr>
        <w:t>. Esta lei entra em vigor a contar da sua publicação, revogadas as disposições em contrário, especialmente os arts. 11 a 17 da Lei Complementar nº 01/2022.</w:t>
      </w:r>
    </w:p>
    <w:p>
      <w:pPr>
        <w:pStyle w:val="Normal"/>
        <w:spacing w:lineRule="auto" w:line="276"/>
        <w:ind w:left="0" w:right="0" w:hanging="0"/>
        <w:jc w:val="both"/>
        <w:rPr>
          <w:rFonts w:ascii="Noto Serif Light" w:hAnsi="Noto Serif Light"/>
          <w:sz w:val="21"/>
          <w:szCs w:val="21"/>
        </w:rPr>
      </w:pPr>
      <w:r>
        <w:rPr>
          <w:rFonts w:eastAsia="Noto Serif Light" w:cs="Noto Serif Light" w:ascii="Noto Serif Light" w:hAnsi="Noto Serif Light"/>
          <w:b w:val="false"/>
          <w:bCs w:val="false"/>
          <w:color w:val="000000"/>
          <w:sz w:val="21"/>
          <w:szCs w:val="21"/>
        </w:rPr>
        <w:tab/>
        <w:t xml:space="preserve">GABINETE DO PREFEITO MUNICIPAL DE DOIS IRMÃOS/RS, </w:t>
      </w:r>
      <w:r>
        <w:rPr>
          <w:rFonts w:eastAsia="Noto Serif Light" w:cs="Noto Serif Light" w:ascii="Noto Serif Light" w:hAnsi="Noto Serif Light"/>
          <w:b w:val="false"/>
          <w:bCs w:val="false"/>
          <w:color w:val="000000"/>
          <w:sz w:val="21"/>
          <w:szCs w:val="21"/>
        </w:rPr>
        <w:t xml:space="preserve">EM </w:t>
      </w:r>
      <w:r>
        <w:rPr>
          <w:rFonts w:eastAsia="Noto Serif Light" w:cs="Noto Serif Light" w:ascii="Noto Serif Light" w:hAnsi="Noto Serif Light"/>
          <w:b w:val="false"/>
          <w:bCs w:val="false"/>
          <w:color w:val="000000"/>
          <w:sz w:val="21"/>
          <w:szCs w:val="21"/>
        </w:rPr>
        <w:t>31</w:t>
      </w:r>
      <w:r>
        <w:rPr>
          <w:rFonts w:eastAsia="Noto Serif Light" w:cs="Noto Serif Light" w:ascii="Noto Serif Light" w:hAnsi="Noto Serif Light"/>
          <w:b w:val="false"/>
          <w:bCs w:val="false"/>
          <w:color w:val="000000"/>
          <w:sz w:val="21"/>
          <w:szCs w:val="21"/>
        </w:rPr>
        <w:t xml:space="preserve"> DE </w:t>
      </w:r>
      <w:r>
        <w:rPr>
          <w:rFonts w:eastAsia="Noto Serif Light" w:cs="Noto Serif Light" w:ascii="Noto Serif Light" w:hAnsi="Noto Serif Light"/>
          <w:b w:val="false"/>
          <w:bCs w:val="false"/>
          <w:color w:val="000000"/>
          <w:sz w:val="21"/>
          <w:szCs w:val="21"/>
        </w:rPr>
        <w:t>AGOSTO</w:t>
      </w:r>
      <w:r>
        <w:rPr>
          <w:rFonts w:eastAsia="Noto Serif Light" w:cs="Noto Serif Light" w:ascii="Noto Serif Light" w:hAnsi="Noto Serif Light"/>
          <w:b w:val="false"/>
          <w:bCs w:val="false"/>
          <w:color w:val="000000"/>
          <w:sz w:val="21"/>
          <w:szCs w:val="21"/>
        </w:rPr>
        <w:t xml:space="preserve"> D</w:t>
      </w:r>
      <w:r>
        <w:rPr>
          <w:rFonts w:eastAsia="Noto Serif Light" w:cs="Noto Serif Light" w:ascii="Noto Serif Light" w:hAnsi="Noto Serif Light"/>
          <w:b w:val="false"/>
          <w:bCs w:val="false"/>
          <w:color w:val="000000"/>
          <w:sz w:val="21"/>
          <w:szCs w:val="21"/>
        </w:rPr>
        <w:t>E 2023.</w:t>
      </w:r>
    </w:p>
    <w:p>
      <w:pPr>
        <w:pStyle w:val="Normal"/>
        <w:spacing w:lineRule="auto" w:line="276"/>
        <w:ind w:left="0" w:right="0" w:hanging="0"/>
        <w:jc w:val="both"/>
        <w:rPr>
          <w:rFonts w:ascii="Noto Serif Light" w:hAnsi="Noto Serif Light" w:eastAsia="Noto Serif Light" w:cs="Noto Serif Light"/>
          <w:b w:val="false"/>
          <w:b w:val="false"/>
          <w:bCs w:val="false"/>
          <w:color w:val="000000"/>
          <w:sz w:val="12"/>
          <w:szCs w:val="12"/>
        </w:rPr>
      </w:pPr>
      <w:r>
        <w:rPr>
          <w:rFonts w:eastAsia="Noto Serif Light" w:cs="Noto Serif Light" w:ascii="Noto Serif Light" w:hAnsi="Noto Serif Light"/>
          <w:b w:val="false"/>
          <w:bCs w:val="false"/>
          <w:color w:val="000000"/>
          <w:sz w:val="12"/>
          <w:szCs w:val="12"/>
        </w:rPr>
      </w:r>
    </w:p>
    <w:p>
      <w:pPr>
        <w:pStyle w:val="Normal"/>
        <w:widowControl w:val="false"/>
        <w:spacing w:lineRule="auto" w:line="276"/>
        <w:ind w:left="0" w:right="0" w:hanging="0"/>
        <w:jc w:val="right"/>
        <w:rPr>
          <w:rFonts w:ascii="Noto Serif Light" w:hAnsi="Noto Serif Light" w:eastAsia="Noto Serif Light" w:cs="Noto Serif Light"/>
          <w:b/>
          <w:b/>
          <w:bCs/>
          <w:color w:val="000000"/>
          <w:sz w:val="21"/>
          <w:szCs w:val="21"/>
        </w:rPr>
      </w:pPr>
      <w:r>
        <w:rPr>
          <w:rFonts w:eastAsia="Noto Serif Light" w:cs="Noto Serif Light" w:ascii="Noto Serif Light" w:hAnsi="Noto Serif Light"/>
          <w:b/>
          <w:bCs/>
          <w:color w:val="000000"/>
          <w:sz w:val="21"/>
          <w:szCs w:val="21"/>
        </w:rPr>
        <w:t>J</w:t>
      </w:r>
      <w:r>
        <w:rPr>
          <w:rFonts w:eastAsia="Noto Serif Light" w:cs="Noto Serif Light" w:ascii="Noto Serif Light" w:hAnsi="Noto Serif Light"/>
          <w:b/>
          <w:bCs/>
          <w:color w:val="000000"/>
          <w:sz w:val="21"/>
          <w:szCs w:val="21"/>
        </w:rPr>
        <w:t>ERRI ADRIANI MENEGHETTI</w:t>
      </w:r>
      <w:r>
        <w:rPr>
          <w:rFonts w:eastAsia="Noto Serif Light" w:cs="Noto Serif Light" w:ascii="Noto Serif Light" w:hAnsi="Noto Serif Light"/>
          <w:b/>
          <w:bCs/>
          <w:color w:val="000000"/>
          <w:sz w:val="21"/>
          <w:szCs w:val="21"/>
        </w:rPr>
        <w:t>,</w:t>
      </w:r>
      <w:r>
        <w:rPr>
          <w:rFonts w:eastAsia="Noto Serif Light" w:cs="Noto Serif Light" w:ascii="Noto Serif Light" w:hAnsi="Noto Serif Light"/>
          <w:b/>
          <w:bCs/>
          <w:color w:val="000000"/>
          <w:sz w:val="21"/>
          <w:szCs w:val="21"/>
        </w:rPr>
        <w:t xml:space="preserve"> </w:t>
      </w:r>
    </w:p>
    <w:p>
      <w:pPr>
        <w:pStyle w:val="Normal"/>
        <w:widowControl w:val="false"/>
        <w:spacing w:lineRule="auto" w:line="276" w:before="0" w:after="160"/>
        <w:ind w:left="0" w:right="0" w:firstLine="1701"/>
        <w:jc w:val="right"/>
        <w:rPr>
          <w:rFonts w:ascii="Noto Serif Light" w:hAnsi="Noto Serif Light" w:eastAsia="Noto Serif Light" w:cs="Calibri"/>
          <w:b/>
          <w:b/>
          <w:bCs/>
          <w:color w:val="000000"/>
          <w:sz w:val="21"/>
          <w:szCs w:val="21"/>
        </w:rPr>
      </w:pPr>
      <w:r>
        <w:rPr>
          <w:rFonts w:eastAsia="Noto Serif Light" w:cs="Arial" w:ascii="Noto Serif Light" w:hAnsi="Noto Serif Light"/>
          <w:b/>
          <w:bCs/>
          <w:color w:val="000000"/>
          <w:sz w:val="21"/>
          <w:szCs w:val="21"/>
        </w:rPr>
        <w:t>PREFEITO MUNICIPAL.</w:t>
      </w:r>
    </w:p>
    <w:p>
      <w:pPr>
        <w:pStyle w:val="Normal"/>
        <w:spacing w:lineRule="auto" w:line="360" w:before="280" w:after="100"/>
        <w:ind w:hanging="0"/>
        <w:contextualSpacing/>
        <w:jc w:val="both"/>
        <w:rPr>
          <w:rFonts w:ascii="Noto Serif Light" w:hAnsi="Noto Serif Light" w:cs="Arial"/>
          <w:sz w:val="21"/>
          <w:szCs w:val="21"/>
        </w:rPr>
      </w:pPr>
      <w:r>
        <w:rPr>
          <w:rFonts w:cs="Arial" w:ascii="Noto Serif Light" w:hAnsi="Noto Serif Light"/>
          <w:sz w:val="21"/>
          <w:szCs w:val="21"/>
        </w:rPr>
      </w:r>
    </w:p>
    <w:p>
      <w:pPr>
        <w:pStyle w:val="Normal"/>
        <w:spacing w:lineRule="auto" w:line="360" w:before="280" w:after="100"/>
        <w:ind w:hanging="0"/>
        <w:contextualSpacing/>
        <w:jc w:val="both"/>
        <w:rPr>
          <w:rFonts w:ascii="Noto Serif Light" w:hAnsi="Noto Serif Light" w:cs="Arial"/>
          <w:sz w:val="21"/>
          <w:szCs w:val="21"/>
        </w:rPr>
      </w:pPr>
      <w:r>
        <w:rPr>
          <w:rFonts w:cs="Arial" w:ascii="Noto Serif Light" w:hAnsi="Noto Serif Light"/>
          <w:sz w:val="21"/>
          <w:szCs w:val="21"/>
        </w:rPr>
      </w:r>
    </w:p>
    <w:p>
      <w:pPr>
        <w:pStyle w:val="Normal"/>
        <w:spacing w:lineRule="auto" w:line="360" w:before="280" w:after="100"/>
        <w:ind w:hanging="0"/>
        <w:contextualSpacing/>
        <w:jc w:val="both"/>
        <w:rPr>
          <w:rFonts w:ascii="Noto Serif Light" w:hAnsi="Noto Serif Light" w:cs="Arial"/>
          <w:sz w:val="21"/>
          <w:szCs w:val="21"/>
        </w:rPr>
      </w:pPr>
      <w:r>
        <w:rPr>
          <w:rFonts w:cs="Arial" w:ascii="Noto Serif Light" w:hAnsi="Noto Serif Light"/>
          <w:sz w:val="21"/>
          <w:szCs w:val="21"/>
        </w:rPr>
      </w:r>
    </w:p>
    <w:p>
      <w:pPr>
        <w:pStyle w:val="Normal"/>
        <w:spacing w:lineRule="auto" w:line="360" w:before="280" w:after="100"/>
        <w:ind w:hanging="0"/>
        <w:contextualSpacing/>
        <w:jc w:val="both"/>
        <w:rPr>
          <w:rFonts w:ascii="Noto Serif Light" w:hAnsi="Noto Serif Light"/>
          <w:sz w:val="21"/>
          <w:szCs w:val="21"/>
        </w:rPr>
      </w:pPr>
      <w:r>
        <w:rPr>
          <w:rFonts w:cs="Arial" w:ascii="Noto Serif Light" w:hAnsi="Noto Serif Light"/>
          <w:sz w:val="21"/>
          <w:szCs w:val="21"/>
        </w:rPr>
        <w:tab/>
        <w:tab/>
        <w:tab/>
      </w:r>
    </w:p>
    <w:p>
      <w:pPr>
        <w:pStyle w:val="Normal"/>
        <w:spacing w:lineRule="auto" w:line="360" w:before="280" w:after="280"/>
        <w:jc w:val="both"/>
        <w:rPr>
          <w:rFonts w:ascii="Noto Serif Light" w:hAnsi="Noto Serif Light" w:cs="Arial"/>
          <w:sz w:val="21"/>
          <w:szCs w:val="21"/>
        </w:rPr>
      </w:pPr>
      <w:r>
        <w:rPr>
          <w:rFonts w:cs="Arial" w:ascii="Noto Serif Light" w:hAnsi="Noto Serif Light"/>
          <w:sz w:val="21"/>
          <w:szCs w:val="21"/>
        </w:rPr>
      </w:r>
    </w:p>
    <w:p>
      <w:pPr>
        <w:pStyle w:val="Normal"/>
        <w:spacing w:lineRule="auto" w:line="360" w:before="280" w:after="280"/>
        <w:jc w:val="both"/>
        <w:rPr>
          <w:rFonts w:ascii="Noto Serif Light" w:hAnsi="Noto Serif Light" w:cs="Arial"/>
          <w:sz w:val="21"/>
          <w:szCs w:val="21"/>
        </w:rPr>
      </w:pPr>
      <w:r>
        <w:rPr>
          <w:rFonts w:cs="Arial" w:ascii="Noto Serif Light" w:hAnsi="Noto Serif Light"/>
          <w:sz w:val="21"/>
          <w:szCs w:val="21"/>
        </w:rPr>
      </w:r>
    </w:p>
    <w:p>
      <w:pPr>
        <w:pStyle w:val="Normal"/>
        <w:spacing w:lineRule="auto" w:line="360" w:before="280" w:after="280"/>
        <w:jc w:val="both"/>
        <w:rPr>
          <w:rFonts w:ascii="Noto Serif Light" w:hAnsi="Noto Serif Light" w:cs="Arial"/>
          <w:sz w:val="21"/>
          <w:szCs w:val="21"/>
        </w:rPr>
      </w:pPr>
      <w:r>
        <w:rPr>
          <w:rFonts w:cs="Arial" w:ascii="Noto Serif Light" w:hAnsi="Noto Serif Light"/>
          <w:sz w:val="21"/>
          <w:szCs w:val="21"/>
        </w:rPr>
      </w:r>
    </w:p>
    <w:p>
      <w:pPr>
        <w:pStyle w:val="Normal"/>
        <w:spacing w:lineRule="auto" w:line="360" w:before="280" w:after="280"/>
        <w:jc w:val="both"/>
        <w:rPr>
          <w:rFonts w:ascii="Noto Serif Light" w:hAnsi="Noto Serif Light" w:cs="Arial"/>
          <w:sz w:val="21"/>
          <w:szCs w:val="21"/>
        </w:rPr>
      </w:pPr>
      <w:r>
        <w:rPr>
          <w:rFonts w:cs="Arial" w:ascii="Noto Serif Light" w:hAnsi="Noto Serif Light"/>
          <w:sz w:val="21"/>
          <w:szCs w:val="21"/>
        </w:rPr>
      </w:r>
    </w:p>
    <w:p>
      <w:pPr>
        <w:pStyle w:val="Normal"/>
        <w:spacing w:lineRule="auto" w:line="360" w:before="280" w:after="280"/>
        <w:jc w:val="both"/>
        <w:rPr>
          <w:rFonts w:ascii="Noto Serif Light" w:hAnsi="Noto Serif Light" w:cs="Arial"/>
          <w:sz w:val="21"/>
          <w:szCs w:val="21"/>
        </w:rPr>
      </w:pPr>
      <w:r>
        <w:rPr>
          <w:rFonts w:cs="Arial" w:ascii="Noto Serif Light" w:hAnsi="Noto Serif Light"/>
          <w:sz w:val="21"/>
          <w:szCs w:val="21"/>
        </w:rPr>
      </w:r>
    </w:p>
    <w:p>
      <w:pPr>
        <w:pStyle w:val="Normal"/>
        <w:spacing w:lineRule="auto" w:line="360" w:before="280" w:after="280"/>
        <w:jc w:val="both"/>
        <w:rPr>
          <w:rFonts w:ascii="Noto Serif Light" w:hAnsi="Noto Serif Light" w:cs="Arial"/>
          <w:sz w:val="21"/>
          <w:szCs w:val="21"/>
        </w:rPr>
      </w:pPr>
      <w:r>
        <w:rPr>
          <w:rFonts w:cs="Arial" w:ascii="Noto Serif Light" w:hAnsi="Noto Serif Light"/>
          <w:sz w:val="21"/>
          <w:szCs w:val="21"/>
        </w:rPr>
      </w:r>
    </w:p>
    <w:p>
      <w:pPr>
        <w:pStyle w:val="Normal"/>
        <w:spacing w:lineRule="auto" w:line="360" w:before="280" w:after="280"/>
        <w:jc w:val="both"/>
        <w:rPr>
          <w:rFonts w:ascii="Noto Serif Light" w:hAnsi="Noto Serif Light" w:cs="Arial"/>
          <w:sz w:val="21"/>
          <w:szCs w:val="21"/>
        </w:rPr>
      </w:pPr>
      <w:r>
        <w:rPr>
          <w:rFonts w:cs="Arial" w:ascii="Noto Serif Light" w:hAnsi="Noto Serif Light"/>
          <w:sz w:val="21"/>
          <w:szCs w:val="21"/>
        </w:rPr>
      </w:r>
    </w:p>
    <w:p>
      <w:pPr>
        <w:pStyle w:val="Normal"/>
        <w:spacing w:lineRule="auto" w:line="360" w:before="280" w:after="280"/>
        <w:jc w:val="both"/>
        <w:rPr>
          <w:rFonts w:ascii="Noto Serif Light" w:hAnsi="Noto Serif Light" w:cs="Arial"/>
          <w:sz w:val="21"/>
          <w:szCs w:val="21"/>
        </w:rPr>
      </w:pPr>
      <w:r>
        <w:rPr>
          <w:rFonts w:cs="Arial" w:ascii="Noto Serif Light" w:hAnsi="Noto Serif Light"/>
          <w:sz w:val="21"/>
          <w:szCs w:val="21"/>
        </w:rPr>
      </w:r>
    </w:p>
    <w:p>
      <w:pPr>
        <w:pStyle w:val="Normal"/>
        <w:spacing w:lineRule="auto" w:line="360" w:before="280" w:after="280"/>
        <w:jc w:val="both"/>
        <w:rPr>
          <w:rFonts w:ascii="Noto Serif Light" w:hAnsi="Noto Serif Light" w:cs="Arial"/>
          <w:sz w:val="21"/>
          <w:szCs w:val="21"/>
        </w:rPr>
      </w:pPr>
      <w:r>
        <w:rPr>
          <w:rFonts w:cs="Arial" w:ascii="Noto Serif Light" w:hAnsi="Noto Serif Light"/>
          <w:sz w:val="21"/>
          <w:szCs w:val="21"/>
        </w:rPr>
      </w:r>
    </w:p>
    <w:p>
      <w:pPr>
        <w:pStyle w:val="Normal"/>
        <w:spacing w:lineRule="auto" w:line="360" w:before="280" w:after="280"/>
        <w:jc w:val="center"/>
        <w:rPr>
          <w:rFonts w:ascii="Noto Serif Light" w:hAnsi="Noto Serif Light"/>
          <w:b/>
          <w:b/>
          <w:bCs/>
          <w:sz w:val="21"/>
          <w:szCs w:val="21"/>
        </w:rPr>
      </w:pPr>
      <w:r>
        <w:rPr>
          <w:rFonts w:cs="Arial" w:ascii="Noto Serif Light" w:hAnsi="Noto Serif Light"/>
          <w:b/>
          <w:bCs/>
          <w:sz w:val="21"/>
          <w:szCs w:val="21"/>
        </w:rPr>
        <w:t>ANEXO I</w:t>
      </w:r>
    </w:p>
    <w:p>
      <w:pPr>
        <w:pStyle w:val="Normal"/>
        <w:spacing w:lineRule="auto" w:line="360" w:before="280" w:after="280"/>
        <w:jc w:val="center"/>
        <w:rPr>
          <w:rFonts w:ascii="Noto Serif Light" w:hAnsi="Noto Serif Light"/>
          <w:b/>
          <w:b/>
          <w:bCs/>
          <w:sz w:val="21"/>
          <w:szCs w:val="21"/>
        </w:rPr>
      </w:pPr>
      <w:r>
        <w:rPr>
          <w:rFonts w:cs="Arial" w:ascii="Noto Serif Light" w:hAnsi="Noto Serif Light"/>
          <w:b/>
          <w:bCs/>
          <w:sz w:val="21"/>
          <w:szCs w:val="21"/>
        </w:rPr>
        <w:t>PLANO DE AMORTIZAÇÃO DO DEFICIT ATUARIAL EM ALÍQUOTAS</w:t>
      </w:r>
    </w:p>
    <w:p>
      <w:pPr>
        <w:pStyle w:val="Normal"/>
        <w:spacing w:lineRule="auto" w:line="360" w:before="280" w:after="280"/>
        <w:jc w:val="both"/>
        <w:rPr>
          <w:rFonts w:ascii="Noto Serif Light" w:hAnsi="Noto Serif Light"/>
          <w:sz w:val="21"/>
          <w:szCs w:val="21"/>
        </w:rPr>
      </w:pPr>
      <w:r>
        <w:rPr>
          <w:rFonts w:ascii="Noto Serif Light" w:hAnsi="Noto Serif Light"/>
          <w:sz w:val="21"/>
          <w:szCs w:val="21"/>
        </w:rPr>
        <w:drawing>
          <wp:inline distT="0" distB="0" distL="0" distR="0">
            <wp:extent cx="5396865" cy="377190"/>
            <wp:effectExtent l="0" t="0" r="0" b="0"/>
            <wp:docPr id="1" name="Imagem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m 1" descr=""/>
                    <pic:cNvPicPr>
                      <a:picLocks noChangeAspect="1" noChangeArrowheads="1"/>
                    </pic:cNvPicPr>
                  </pic:nvPicPr>
                  <pic:blipFill>
                    <a:blip r:embed="rId2"/>
                    <a:stretch>
                      <a:fillRect/>
                    </a:stretch>
                  </pic:blipFill>
                  <pic:spPr bwMode="auto">
                    <a:xfrm>
                      <a:off x="0" y="0"/>
                      <a:ext cx="5396865" cy="377190"/>
                    </a:xfrm>
                    <a:prstGeom prst="rect">
                      <a:avLst/>
                    </a:prstGeom>
                  </pic:spPr>
                </pic:pic>
              </a:graphicData>
            </a:graphic>
          </wp:inline>
        </w:drawing>
      </w:r>
    </w:p>
    <w:p>
      <w:pPr>
        <w:pStyle w:val="Normal"/>
        <w:spacing w:lineRule="auto" w:line="360" w:before="280" w:after="280"/>
        <w:jc w:val="both"/>
        <w:rPr>
          <w:rFonts w:ascii="Noto Serif Light" w:hAnsi="Noto Serif Light"/>
          <w:sz w:val="21"/>
          <w:szCs w:val="21"/>
        </w:rPr>
      </w:pPr>
      <w:r>
        <w:rPr>
          <w:rFonts w:ascii="Noto Serif Light" w:hAnsi="Noto Serif Light"/>
          <w:sz w:val="21"/>
          <w:szCs w:val="21"/>
        </w:rPr>
        <w:drawing>
          <wp:inline distT="0" distB="0" distL="0" distR="0">
            <wp:extent cx="5396865" cy="5127625"/>
            <wp:effectExtent l="0" t="0" r="0" b="0"/>
            <wp:docPr id="2" name="Figura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igura2" descr=""/>
                    <pic:cNvPicPr>
                      <a:picLocks noChangeAspect="1" noChangeArrowheads="1"/>
                    </pic:cNvPicPr>
                  </pic:nvPicPr>
                  <pic:blipFill>
                    <a:blip r:embed="rId3"/>
                    <a:stretch>
                      <a:fillRect/>
                    </a:stretch>
                  </pic:blipFill>
                  <pic:spPr bwMode="auto">
                    <a:xfrm>
                      <a:off x="0" y="0"/>
                      <a:ext cx="5396865" cy="5127625"/>
                    </a:xfrm>
                    <a:prstGeom prst="rect">
                      <a:avLst/>
                    </a:prstGeom>
                  </pic:spPr>
                </pic:pic>
              </a:graphicData>
            </a:graphic>
          </wp:inline>
        </w:drawing>
      </w:r>
    </w:p>
    <w:p>
      <w:pPr>
        <w:pStyle w:val="Normal"/>
        <w:spacing w:lineRule="auto" w:line="360" w:before="280" w:after="280"/>
        <w:jc w:val="both"/>
        <w:rPr>
          <w:rFonts w:ascii="Noto Serif Light" w:hAnsi="Noto Serif Light" w:cs="Arial"/>
          <w:sz w:val="21"/>
          <w:szCs w:val="21"/>
        </w:rPr>
      </w:pPr>
      <w:r>
        <w:rPr>
          <w:rFonts w:cs="Arial" w:ascii="Noto Serif Light" w:hAnsi="Noto Serif Light"/>
          <w:sz w:val="21"/>
          <w:szCs w:val="21"/>
        </w:rPr>
      </w:r>
    </w:p>
    <w:p>
      <w:pPr>
        <w:pStyle w:val="Normal"/>
        <w:spacing w:lineRule="auto" w:line="360" w:before="280" w:after="280"/>
        <w:jc w:val="both"/>
        <w:rPr>
          <w:rFonts w:ascii="Noto Serif Light" w:hAnsi="Noto Serif Light" w:cs="Arial"/>
          <w:sz w:val="21"/>
          <w:szCs w:val="21"/>
        </w:rPr>
      </w:pPr>
      <w:r>
        <w:rPr>
          <w:rFonts w:cs="Arial" w:ascii="Noto Serif Light" w:hAnsi="Noto Serif Light"/>
          <w:sz w:val="21"/>
          <w:szCs w:val="21"/>
        </w:rPr>
      </w:r>
    </w:p>
    <w:p>
      <w:pPr>
        <w:pStyle w:val="Normal"/>
        <w:spacing w:lineRule="auto" w:line="360" w:before="280" w:after="280"/>
        <w:jc w:val="both"/>
        <w:rPr>
          <w:rFonts w:ascii="Noto Serif Light" w:hAnsi="Noto Serif Light" w:cs="Arial"/>
          <w:sz w:val="21"/>
          <w:szCs w:val="21"/>
        </w:rPr>
      </w:pPr>
      <w:r>
        <w:rPr>
          <w:rFonts w:cs="Arial" w:ascii="Noto Serif Light" w:hAnsi="Noto Serif Light"/>
          <w:sz w:val="21"/>
          <w:szCs w:val="21"/>
        </w:rPr>
      </w:r>
    </w:p>
    <w:p>
      <w:pPr>
        <w:pStyle w:val="Normal"/>
        <w:spacing w:lineRule="auto" w:line="360" w:before="280" w:after="200"/>
        <w:jc w:val="center"/>
        <w:rPr>
          <w:rFonts w:ascii="Noto Serif Light" w:hAnsi="Noto Serif Light"/>
          <w:sz w:val="21"/>
          <w:szCs w:val="21"/>
        </w:rPr>
      </w:pPr>
      <w:r>
        <w:rPr>
          <w:rFonts w:cs="Arial" w:ascii="Noto Serif Light" w:hAnsi="Noto Serif Light"/>
          <w:b/>
          <w:bCs/>
          <w:sz w:val="21"/>
          <w:szCs w:val="21"/>
        </w:rPr>
        <w:t>EXPOSIÇÃO DE MOTIVOS</w:t>
      </w:r>
    </w:p>
    <w:p>
      <w:pPr>
        <w:pStyle w:val="Corpodotexto"/>
        <w:spacing w:lineRule="auto" w:line="360" w:before="280" w:after="140"/>
        <w:ind w:hanging="0"/>
        <w:jc w:val="both"/>
        <w:rPr>
          <w:rFonts w:ascii="Noto Serif Light" w:hAnsi="Noto Serif Light"/>
          <w:sz w:val="21"/>
          <w:szCs w:val="21"/>
        </w:rPr>
      </w:pPr>
      <w:r>
        <w:rPr>
          <w:rFonts w:cs="Arial" w:ascii="Noto Serif Light" w:hAnsi="Noto Serif Light"/>
          <w:b w:val="false"/>
          <w:bCs w:val="false"/>
          <w:sz w:val="21"/>
          <w:szCs w:val="21"/>
        </w:rPr>
        <w:tab/>
      </w:r>
      <w:r>
        <w:rPr>
          <w:rFonts w:cs="Noto Serif Light" w:ascii="Noto Serif Light" w:hAnsi="Noto Serif Light"/>
          <w:b w:val="false"/>
          <w:bCs w:val="false"/>
          <w:sz w:val="22"/>
          <w:szCs w:val="22"/>
        </w:rPr>
        <w:t xml:space="preserve">Encaminhamos o presente Projeto de Lei nº. </w:t>
      </w:r>
      <w:r>
        <w:rPr>
          <w:rFonts w:cs="Noto Serif Light" w:ascii="Noto Serif Light" w:hAnsi="Noto Serif Light"/>
          <w:b w:val="false"/>
          <w:bCs w:val="false"/>
          <w:sz w:val="22"/>
          <w:szCs w:val="22"/>
        </w:rPr>
        <w:t>90</w:t>
      </w:r>
      <w:r>
        <w:rPr>
          <w:rFonts w:cs="Noto Serif Light" w:ascii="Noto Serif Light" w:hAnsi="Noto Serif Light"/>
          <w:b w:val="false"/>
          <w:bCs w:val="false"/>
          <w:sz w:val="22"/>
          <w:szCs w:val="22"/>
        </w:rPr>
        <w:t>/202</w:t>
      </w:r>
      <w:r>
        <w:rPr>
          <w:rFonts w:cs="Noto Serif Light" w:ascii="Noto Serif Light" w:hAnsi="Noto Serif Light"/>
          <w:b w:val="false"/>
          <w:bCs w:val="false"/>
          <w:sz w:val="22"/>
          <w:szCs w:val="22"/>
        </w:rPr>
        <w:t>3</w:t>
      </w:r>
      <w:r>
        <w:rPr>
          <w:rFonts w:cs="Noto Serif Light" w:ascii="Noto Serif Light" w:hAnsi="Noto Serif Light"/>
          <w:b w:val="false"/>
          <w:bCs w:val="false"/>
          <w:sz w:val="22"/>
          <w:szCs w:val="22"/>
        </w:rPr>
        <w:t xml:space="preserve"> que </w:t>
      </w:r>
      <w:r>
        <w:rPr>
          <w:rFonts w:cs="Noto Serif Light" w:ascii="Noto Serif Light" w:hAnsi="Noto Serif Light"/>
          <w:b/>
          <w:bCs/>
          <w:sz w:val="22"/>
          <w:szCs w:val="22"/>
        </w:rPr>
        <w:t>“</w:t>
      </w:r>
      <w:r>
        <w:rPr>
          <w:rFonts w:cs="Arial" w:ascii="Noto Serif Light" w:hAnsi="Noto Serif Light"/>
          <w:b/>
          <w:bCs/>
          <w:sz w:val="21"/>
          <w:szCs w:val="21"/>
        </w:rPr>
        <w:t>DISPÕE SOBRE O PLANO DE CUSTEIO DO REGIME PRÓPRIO DE PREVIDÊNCIA SOCIAL DO MUNICÍPIO DE DOIS IRMÃOS – RS</w:t>
      </w:r>
      <w:r>
        <w:rPr>
          <w:rFonts w:cs="Noto Serif Light" w:ascii="Noto Serif Light" w:hAnsi="Noto Serif Light"/>
          <w:b/>
          <w:bCs/>
          <w:sz w:val="22"/>
          <w:szCs w:val="22"/>
        </w:rPr>
        <w:t>”,</w:t>
      </w:r>
      <w:r>
        <w:rPr>
          <w:rFonts w:cs="Noto Serif Light" w:ascii="Noto Serif Light" w:hAnsi="Noto Serif Light"/>
          <w:b/>
          <w:bCs w:val="false"/>
          <w:sz w:val="22"/>
          <w:szCs w:val="22"/>
        </w:rPr>
        <w:t xml:space="preserve"> </w:t>
      </w:r>
      <w:r>
        <w:rPr>
          <w:rFonts w:cs="Noto Serif Light" w:ascii="Noto Serif Light" w:hAnsi="Noto Serif Light"/>
          <w:b w:val="false"/>
          <w:bCs w:val="false"/>
          <w:sz w:val="22"/>
          <w:szCs w:val="22"/>
        </w:rPr>
        <w:t xml:space="preserve">para apreciação e deliberação dos senhores </w:t>
      </w:r>
      <w:r>
        <w:rPr>
          <w:rFonts w:cs="Noto Serif Light" w:ascii="Noto Serif Light" w:hAnsi="Noto Serif Light"/>
          <w:b w:val="false"/>
          <w:bCs w:val="false"/>
          <w:i/>
          <w:iCs/>
          <w:sz w:val="22"/>
          <w:szCs w:val="22"/>
        </w:rPr>
        <w:t>Edis</w:t>
      </w:r>
      <w:r>
        <w:rPr>
          <w:rFonts w:cs="Noto Serif Light" w:ascii="Noto Serif Light" w:hAnsi="Noto Serif Light"/>
          <w:b w:val="false"/>
          <w:bCs w:val="false"/>
          <w:sz w:val="22"/>
          <w:szCs w:val="22"/>
        </w:rPr>
        <w:t>.</w:t>
      </w:r>
    </w:p>
    <w:p>
      <w:pPr>
        <w:pStyle w:val="Normal"/>
        <w:spacing w:lineRule="auto" w:line="360" w:before="280" w:after="200"/>
        <w:jc w:val="both"/>
        <w:rPr>
          <w:rFonts w:ascii="Noto Serif Light" w:hAnsi="Noto Serif Light"/>
          <w:sz w:val="21"/>
          <w:szCs w:val="21"/>
        </w:rPr>
      </w:pPr>
      <w:r>
        <w:rPr>
          <w:rFonts w:cs="Arial" w:ascii="Noto Serif Light" w:hAnsi="Noto Serif Light"/>
          <w:bCs/>
          <w:sz w:val="21"/>
          <w:szCs w:val="21"/>
        </w:rPr>
        <w:tab/>
        <w:tab/>
        <w:t>Essa proposição faz parte do conjunto de normas para a consolidação da legislação previdenciária, e trata da instituição do Plano de Custeio para o RPPS do Município, e tem como fundamento a  avaliação atuarial realizada em 2023 e se refere a definição da base contributiva dos servidores ativos, inativos e pensionistas, e também do Município, além de promover os ajustes necessários para na taxa de administração, na forma preceituada pela Portaria MTP 1467/2022.</w:t>
      </w:r>
    </w:p>
    <w:p>
      <w:pPr>
        <w:pStyle w:val="Normal"/>
        <w:spacing w:lineRule="auto" w:line="360" w:before="280" w:after="200"/>
        <w:ind w:left="0" w:right="0" w:firstLine="720"/>
        <w:jc w:val="both"/>
        <w:rPr>
          <w:rFonts w:ascii="Noto Serif Light" w:hAnsi="Noto Serif Light"/>
          <w:sz w:val="21"/>
          <w:szCs w:val="21"/>
        </w:rPr>
      </w:pPr>
      <w:r>
        <w:rPr>
          <w:rFonts w:cs="Arial" w:ascii="Noto Serif Light" w:hAnsi="Noto Serif Light"/>
          <w:bCs/>
          <w:sz w:val="21"/>
          <w:szCs w:val="21"/>
        </w:rPr>
        <w:t>Este Plano de Custeio representa a previsão, em lei específica, de todos os assuntos relacionados à arrecadação de contribuições, que abrange desde a definição de base contributiva, até a previsão de penalidades decorrentes do atraso no recolhimento das contribuições.</w:t>
      </w:r>
    </w:p>
    <w:p>
      <w:pPr>
        <w:pStyle w:val="Normal"/>
        <w:spacing w:lineRule="auto" w:line="360" w:before="280" w:after="200"/>
        <w:ind w:left="0" w:right="0" w:firstLine="720"/>
        <w:jc w:val="both"/>
        <w:rPr>
          <w:rFonts w:ascii="Noto Serif Light" w:hAnsi="Noto Serif Light"/>
          <w:sz w:val="21"/>
          <w:szCs w:val="21"/>
        </w:rPr>
      </w:pPr>
      <w:r>
        <w:rPr>
          <w:rFonts w:cs="Arial" w:ascii="Noto Serif Light" w:hAnsi="Noto Serif Light"/>
          <w:bCs/>
          <w:sz w:val="21"/>
          <w:szCs w:val="21"/>
        </w:rPr>
        <w:t xml:space="preserve">O agrupamento destes assuntos num só normativo facilita a sua aplicação e interpretação, uma vez que ficará dissociado com os demais assuntos relacionados à previdência própria, que tratam de outras matérias, tais como o Lei Complementar do Plano de Benefícios e a Lei de Organização da Unidade Gestora do RPPS, sendo parte da implantação da Reforma da Previdência Municipal.  </w:t>
      </w:r>
    </w:p>
    <w:p>
      <w:pPr>
        <w:pStyle w:val="Normal"/>
        <w:spacing w:lineRule="auto" w:line="360" w:before="280" w:after="200"/>
        <w:ind w:left="0" w:right="0" w:firstLine="720"/>
        <w:jc w:val="both"/>
        <w:rPr>
          <w:rFonts w:ascii="Noto Serif Light" w:hAnsi="Noto Serif Light"/>
          <w:sz w:val="21"/>
          <w:szCs w:val="21"/>
        </w:rPr>
      </w:pPr>
      <w:r>
        <w:rPr>
          <w:rFonts w:cs="Arial" w:ascii="Noto Serif Light" w:hAnsi="Noto Serif Light"/>
          <w:bCs/>
          <w:sz w:val="21"/>
          <w:szCs w:val="21"/>
        </w:rPr>
        <w:t>A definição das alíquotas de contribuição são aquelas apuradas considerando-se a alteração do Plano de Benefícios.</w:t>
      </w:r>
    </w:p>
    <w:p>
      <w:pPr>
        <w:pStyle w:val="Normal"/>
        <w:spacing w:lineRule="auto" w:line="360" w:before="280" w:after="200"/>
        <w:ind w:left="0" w:right="0" w:firstLine="720"/>
        <w:jc w:val="both"/>
        <w:rPr>
          <w:rFonts w:ascii="Noto Serif Light" w:hAnsi="Noto Serif Light"/>
          <w:sz w:val="21"/>
          <w:szCs w:val="21"/>
        </w:rPr>
      </w:pPr>
      <w:r>
        <w:rPr>
          <w:rFonts w:cs="Arial" w:ascii="Noto Serif Light" w:hAnsi="Noto Serif Light"/>
          <w:bCs/>
          <w:sz w:val="21"/>
          <w:szCs w:val="21"/>
        </w:rPr>
        <w:t>Assim, esperamos o pronunciamento favorável desta Colenda Câmara.</w:t>
      </w:r>
    </w:p>
    <w:p>
      <w:pPr>
        <w:pStyle w:val="Normal"/>
        <w:widowControl w:val="false"/>
        <w:spacing w:lineRule="auto" w:line="276"/>
        <w:ind w:left="0" w:right="0" w:hanging="0"/>
        <w:jc w:val="right"/>
        <w:rPr>
          <w:rFonts w:ascii="Noto Serif Light" w:hAnsi="Noto Serif Light" w:eastAsia="Noto Serif Light" w:cs="Noto Serif Light"/>
          <w:b/>
          <w:b/>
          <w:bCs/>
          <w:color w:val="000000"/>
          <w:sz w:val="21"/>
          <w:szCs w:val="21"/>
        </w:rPr>
      </w:pPr>
      <w:r>
        <w:rPr>
          <w:rFonts w:eastAsia="Noto Serif Light" w:cs="Noto Serif Light" w:ascii="Noto Serif Light" w:hAnsi="Noto Serif Light"/>
          <w:b/>
          <w:bCs/>
          <w:color w:val="000000"/>
          <w:sz w:val="21"/>
          <w:szCs w:val="21"/>
        </w:rPr>
        <w:t>J</w:t>
      </w:r>
      <w:r>
        <w:rPr>
          <w:rFonts w:eastAsia="Noto Serif Light" w:cs="Noto Serif Light" w:ascii="Noto Serif Light" w:hAnsi="Noto Serif Light"/>
          <w:b/>
          <w:bCs/>
          <w:color w:val="000000"/>
          <w:sz w:val="21"/>
          <w:szCs w:val="21"/>
        </w:rPr>
        <w:t>ERRI ADRIANI MENEGHETTI</w:t>
      </w:r>
      <w:r>
        <w:rPr>
          <w:rFonts w:eastAsia="Noto Serif Light" w:cs="Noto Serif Light" w:ascii="Noto Serif Light" w:hAnsi="Noto Serif Light"/>
          <w:b/>
          <w:bCs/>
          <w:color w:val="000000"/>
          <w:sz w:val="21"/>
          <w:szCs w:val="21"/>
        </w:rPr>
        <w:t>,</w:t>
      </w:r>
      <w:r>
        <w:rPr>
          <w:rFonts w:eastAsia="Noto Serif Light" w:cs="Noto Serif Light" w:ascii="Noto Serif Light" w:hAnsi="Noto Serif Light"/>
          <w:b/>
          <w:bCs/>
          <w:color w:val="000000"/>
          <w:sz w:val="21"/>
          <w:szCs w:val="21"/>
        </w:rPr>
        <w:t xml:space="preserve"> </w:t>
      </w:r>
    </w:p>
    <w:p>
      <w:pPr>
        <w:pStyle w:val="Normal"/>
        <w:widowControl w:val="false"/>
        <w:spacing w:lineRule="auto" w:line="276" w:before="0" w:after="160"/>
        <w:ind w:left="0" w:right="0" w:firstLine="1701"/>
        <w:jc w:val="right"/>
        <w:rPr/>
      </w:pPr>
      <w:r>
        <w:rPr>
          <w:rFonts w:eastAsia="Noto Serif Light" w:cs="Arial" w:ascii="Noto Serif Light" w:hAnsi="Noto Serif Light"/>
          <w:b/>
          <w:bCs/>
          <w:color w:val="000000"/>
          <w:sz w:val="21"/>
          <w:szCs w:val="21"/>
        </w:rPr>
        <w:t>PREFEITO MUNICIPAL.</w:t>
      </w:r>
    </w:p>
    <w:sectPr>
      <w:type w:val="nextPage"/>
      <w:pgSz w:w="11906" w:h="16838"/>
      <w:pgMar w:left="1134" w:right="1134" w:header="0" w:top="2494" w:footer="0" w:bottom="1417" w:gutter="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Liberation Sans">
    <w:altName w:val="Arial"/>
    <w:charset w:val="00"/>
    <w:family w:val="roman"/>
    <w:pitch w:val="variable"/>
  </w:font>
  <w:font w:name="Noto Serif Light">
    <w:charset w:val="01"/>
    <w:family w:val="roman"/>
    <w:pitch w:val="variable"/>
  </w:font>
  <w:font w:name="5">
    <w:charset w:val="01"/>
    <w:family w:val="auto"/>
    <w:pitch w:val="default"/>
  </w:font>
  <w:font w:name="Noto Serif Light3">
    <w:charset w:val="01"/>
    <w:family w:val="roman"/>
    <w:pitch w:val="default"/>
  </w:font>
  <w:font w:name="Noto Serif Light">
    <w:charset w:val="00"/>
    <w:family w:val="roman"/>
    <w:pitch w:val="variable"/>
  </w:font>
</w:fonts>
</file>

<file path=word/settings.xml><?xml version="1.0" encoding="utf-8"?>
<w:settings xmlns:w="http://schemas.openxmlformats.org/wordprocessingml/2006/main">
  <w:zoom w:percent="100"/>
  <w:defaultTabStop w:val="708"/>
  <w:autoHyphenation w:val="tru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hyphenationZone w:val="425"/>
  <w:themeFontLang w:val="pt-BR"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pt-BR" w:eastAsia="en-US" w:bidi="ar-SA"/>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suppressAutoHyphens w:val="true"/>
      <w:bidi w:val="0"/>
      <w:spacing w:lineRule="auto" w:line="276" w:beforeAutospacing="1" w:after="200"/>
      <w:ind w:firstLine="527"/>
      <w:jc w:val="both"/>
    </w:pPr>
    <w:rPr>
      <w:rFonts w:ascii="Calibri" w:hAnsi="Calibri" w:eastAsia="Calibri" w:cs="" w:asciiTheme="minorHAnsi" w:cstheme="minorBidi" w:eastAsiaTheme="minorHAnsi" w:hAnsiTheme="minorHAnsi"/>
      <w:color w:val="auto"/>
      <w:kern w:val="0"/>
      <w:sz w:val="22"/>
      <w:szCs w:val="22"/>
      <w:lang w:val="pt-BR" w:eastAsia="en-US" w:bidi="ar-SA"/>
    </w:rPr>
  </w:style>
  <w:style w:type="character" w:styleId="DefaultParagraphFont" w:default="1">
    <w:name w:val="Default Paragraph Font"/>
    <w:uiPriority w:val="1"/>
    <w:semiHidden/>
    <w:unhideWhenUsed/>
    <w:qFormat/>
    <w:rPr/>
  </w:style>
  <w:style w:type="character" w:styleId="PlaceholderText">
    <w:name w:val="Placeholder Text"/>
    <w:basedOn w:val="DefaultParagraphFont"/>
    <w:uiPriority w:val="99"/>
    <w:semiHidden/>
    <w:qFormat/>
    <w:rsid w:val="001c6759"/>
    <w:rPr>
      <w:color w:val="808080"/>
    </w:rPr>
  </w:style>
  <w:style w:type="paragraph" w:styleId="Ttulo">
    <w:name w:val="Título"/>
    <w:basedOn w:val="Normal"/>
    <w:next w:val="Corpodotexto"/>
    <w:qFormat/>
    <w:pPr>
      <w:keepNext w:val="true"/>
      <w:spacing w:before="240" w:after="120"/>
    </w:pPr>
    <w:rPr>
      <w:rFonts w:ascii="Liberation Sans" w:hAnsi="Liberation Sans" w:eastAsia="Microsoft YaHei" w:cs="Lucida Sans"/>
      <w:sz w:val="28"/>
      <w:szCs w:val="28"/>
    </w:rPr>
  </w:style>
  <w:style w:type="paragraph" w:styleId="Corpodotexto">
    <w:name w:val="Body Text"/>
    <w:basedOn w:val="Normal"/>
    <w:pPr>
      <w:spacing w:lineRule="auto" w:line="276" w:before="0" w:after="140"/>
    </w:pPr>
    <w:rPr/>
  </w:style>
  <w:style w:type="paragraph" w:styleId="Lista">
    <w:name w:val="List"/>
    <w:basedOn w:val="Corpodotexto"/>
    <w:pPr/>
    <w:rPr>
      <w:rFonts w:cs="Lucida Sans"/>
    </w:rPr>
  </w:style>
  <w:style w:type="paragraph" w:styleId="Legenda">
    <w:name w:val="Caption"/>
    <w:basedOn w:val="Normal"/>
    <w:qFormat/>
    <w:pPr>
      <w:suppressLineNumbers/>
      <w:spacing w:before="120" w:after="120"/>
    </w:pPr>
    <w:rPr>
      <w:rFonts w:cs="Lucida Sans"/>
      <w:i/>
      <w:iCs/>
      <w:sz w:val="24"/>
      <w:szCs w:val="24"/>
    </w:rPr>
  </w:style>
  <w:style w:type="paragraph" w:styleId="Ndice">
    <w:name w:val="Índice"/>
    <w:basedOn w:val="Normal"/>
    <w:qFormat/>
    <w:pPr>
      <w:suppressLineNumbers/>
    </w:pPr>
    <w:rPr>
      <w:rFonts w:cs="Lucida Sans"/>
      <w:lang w:val="zxx" w:eastAsia="zxx" w:bidi="zxx"/>
    </w:rPr>
  </w:style>
  <w:style w:type="numbering" w:styleId="NoList" w:default="1">
    <w:name w:val="No List"/>
    <w:uiPriority w:val="99"/>
    <w:semiHidden/>
    <w:unhideWhenUsed/>
    <w:qFormat/>
  </w:style>
  <w:style w:type="table" w:default="1" w:styleId="Tabelanormal">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image" Target="media/image2.png"/><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Relationship Id="rId7" Type="http://schemas.openxmlformats.org/officeDocument/2006/relationships/customXml" Target="../customXml/item1.xml"/>
</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6C5C0CA-4D5B-428F-84CE-C398384F5B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203</TotalTime>
  <Application>LibreOffice/7.0.4.2$Windows_X86_64 LibreOffice_project/dcf040e67528d9187c66b2379df5ea4407429775</Application>
  <AppVersion>15.0000</AppVersion>
  <Pages>9</Pages>
  <Words>1980</Words>
  <Characters>10990</Characters>
  <CharactersWithSpaces>12931</CharactersWithSpaces>
  <Paragraphs>91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2023-08-16T18:36:00Z</dcterms:created>
  <dc:creator>Rosana Seger</dc:creator>
  <dc:description/>
  <dc:language>pt-BR</dc:language>
  <cp:lastModifiedBy/>
  <cp:lastPrinted>2023-08-31T12:15:24Z</cp:lastPrinted>
  <dcterms:modified xsi:type="dcterms:W3CDTF">2023-08-31T12:22:27Z</dcterms:modified>
  <cp:revision>24</cp:revision>
  <dc:subject/>
  <dc:title/>
</cp:coreProperties>
</file>

<file path=docProps/custom.xml><?xml version="1.0" encoding="utf-8"?>
<Properties xmlns="http://schemas.openxmlformats.org/officeDocument/2006/custom-properties" xmlns:vt="http://schemas.openxmlformats.org/officeDocument/2006/docPropsVTypes"/>
</file>