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Onormal"/>
        <w:spacing w:lineRule="auto" w:line="264"/>
        <w:ind w:left="840" w:right="-220" w:hanging="0"/>
        <w:jc w:val="center"/>
        <w:rPr>
          <w:rFonts w:ascii="Noto Serif Light" w:hAnsi="Noto Serif Light"/>
          <w:color w:val="auto"/>
          <w:sz w:val="21"/>
          <w:szCs w:val="21"/>
        </w:rPr>
      </w:pPr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 xml:space="preserve">PROJETO DE LEI  Nº </w:t>
      </w:r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>99</w:t>
      </w:r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>/2023</w:t>
      </w:r>
    </w:p>
    <w:p>
      <w:pPr>
        <w:pStyle w:val="LOnormal"/>
        <w:spacing w:lineRule="auto" w:line="240"/>
        <w:ind w:left="840" w:right="-220" w:hanging="0"/>
        <w:jc w:val="both"/>
        <w:rPr>
          <w:rFonts w:ascii="Noto Serif Light" w:hAnsi="Noto Serif Light" w:eastAsia="Arial Narrow" w:cs="Calibri" w:cstheme="majorHAnsi"/>
          <w:b/>
          <w:b/>
          <w:bCs/>
          <w:color w:val="auto"/>
          <w:sz w:val="21"/>
          <w:szCs w:val="21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b/>
          <w:bCs/>
          <w:color w:val="auto"/>
          <w:sz w:val="21"/>
          <w:szCs w:val="21"/>
          <w:lang w:val="pt-BR" w:eastAsia="zh-CN" w:bidi="hi-IN"/>
        </w:rPr>
      </w:r>
    </w:p>
    <w:p>
      <w:pPr>
        <w:pStyle w:val="LOnormal"/>
        <w:spacing w:lineRule="auto" w:line="360" w:before="0" w:after="380"/>
        <w:ind w:left="2551" w:right="0" w:hanging="0"/>
        <w:jc w:val="both"/>
        <w:rPr/>
      </w:pPr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 xml:space="preserve">"ACRESCENTA §§1º E 2º AO ARTIGO </w:t>
      </w:r>
      <w:r>
        <w:rPr>
          <w:rFonts w:eastAsia="Arial Narrow" w:cs="Calibri" w:ascii="Noto Serif Light" w:hAnsi="Noto Serif Light" w:cstheme="majorHAnsi"/>
          <w:b/>
          <w:bCs/>
          <w:color w:val="000000"/>
          <w:sz w:val="21"/>
          <w:szCs w:val="21"/>
          <w:shd w:fill="auto" w:val="clear"/>
          <w:lang w:val="pt-BR" w:eastAsia="zh-CN" w:bidi="hi-IN"/>
        </w:rPr>
        <w:t>14, INCISOS IV, V, VI E §§ 1º A 7º AO ARTIGO 16, ALTERA A REDAÇÃO DO § 3º DO ART. 73, ALTERA A REDAÇÃO DO INCISO XVII DO ARTIGO 74, ALTERA A REDAÇÃO DO TÍTULO VI, A REDAÇÃO DO CAPUT e § 2º, DO ARTIGO 78 E ACRESCENTA A ESSE ARTIGO OS §§3º A 7º, ALTERA A REDAÇÃO DO CAPUT DO ARTIGO  79  E ACRESCENTA §§1º E 7º E ACRESCENTA ANEXO II, TODOS DA</w:t>
      </w:r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 xml:space="preserve"> LEI MUNICIPAL Nº </w:t>
      </w:r>
      <w:hyperlink r:id="rId2">
        <w:r>
          <w:rPr>
            <w:rFonts w:eastAsia="Arial Narrow" w:cs="Calibri" w:ascii="Noto Serif Light" w:hAnsi="Noto Serif Light" w:cstheme="majorHAnsi"/>
            <w:b/>
            <w:bCs/>
            <w:color w:val="auto"/>
            <w:sz w:val="21"/>
            <w:szCs w:val="21"/>
            <w:lang w:val="pt-BR" w:eastAsia="zh-CN" w:bidi="hi-IN"/>
          </w:rPr>
          <w:t>1.671</w:t>
        </w:r>
      </w:hyperlink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>/1999, DE 31 DE AGOSTO DE 1999, QUE DISPÕE SOBRE O CÓDIGO DO MEIO AMBIENTE DE DOIS IRMÃOS E DÁ OUTRAS PROVIDÊNCIAS."</w:t>
      </w:r>
    </w:p>
    <w:p>
      <w:pPr>
        <w:pStyle w:val="Corpodotexto"/>
        <w:spacing w:lineRule="auto" w:line="360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b/>
          <w:bCs/>
          <w:color w:val="000000" w:themeColor="text1"/>
          <w:sz w:val="21"/>
          <w:szCs w:val="21"/>
          <w:lang w:val="pt-BR" w:eastAsia="zh-CN" w:bidi="hi-IN"/>
        </w:rPr>
        <w:tab/>
        <w:t>JERRI ADRIANI MENEGHETTI</w:t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>, Prefeito Municipal de Dois Irmãos, RS, no uso das atribuições que lhe são conferidas por Lei Orgânica do Município, faço saber que a Câmara Municipal aprova e eu sanciono a seguinte:</w:t>
      </w:r>
    </w:p>
    <w:p>
      <w:pPr>
        <w:pStyle w:val="LOnormal"/>
        <w:ind w:right="-220" w:hanging="0"/>
        <w:jc w:val="center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b/>
          <w:bCs/>
          <w:color w:val="000000" w:themeColor="text1"/>
          <w:sz w:val="21"/>
          <w:szCs w:val="21"/>
          <w:lang w:val="pt-BR" w:eastAsia="zh-CN" w:bidi="hi-IN"/>
        </w:rPr>
        <w:t>LEI</w:t>
      </w:r>
    </w:p>
    <w:p>
      <w:pPr>
        <w:pStyle w:val="LOnormal"/>
        <w:ind w:right="-220" w:hanging="0"/>
        <w:jc w:val="center"/>
        <w:rPr>
          <w:rFonts w:ascii="Noto Serif Light" w:hAnsi="Noto Serif Light" w:eastAsia="Arial Narrow" w:cs="Calibri" w:cstheme="majorHAnsi"/>
          <w:color w:val="000000" w:themeColor="text1"/>
          <w:sz w:val="21"/>
          <w:szCs w:val="21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color w:val="000000" w:themeColor="text1"/>
          <w:sz w:val="21"/>
          <w:szCs w:val="21"/>
          <w:lang w:val="pt-BR" w:eastAsia="zh-CN" w:bidi="hi-IN"/>
        </w:rPr>
      </w:r>
    </w:p>
    <w:p>
      <w:pPr>
        <w:pStyle w:val="Normal"/>
        <w:jc w:val="both"/>
        <w:rPr>
          <w:rFonts w:ascii="Noto Serif Light" w:hAnsi="Noto Serif Light"/>
          <w:sz w:val="21"/>
          <w:szCs w:val="21"/>
        </w:rPr>
      </w:pPr>
      <w:bookmarkStart w:id="0" w:name="artigo_1"/>
      <w:bookmarkEnd w:id="0"/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ab/>
        <w:tab/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shd w:fill="auto" w:val="clear"/>
          <w:lang w:val="pt-BR" w:eastAsia="zh-CN" w:bidi="hi-IN"/>
        </w:rPr>
        <w:t xml:space="preserve">Art. 1º Os artigos 14, 16, 73 74, 78 e 79 </w:t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 xml:space="preserve">da Lei Municipal nº </w:t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highlight w:val="white"/>
          <w:lang w:val="pt-BR" w:eastAsia="zh-CN" w:bidi="hi-IN"/>
        </w:rPr>
        <w:t>1.671</w:t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 xml:space="preserve">, de 31 de agosto de 1999 e alterações, que dispõe sobre o Código do Meio Ambiente de Dois Irmãos, passam viger com as seguintes redações: </w:t>
      </w:r>
    </w:p>
    <w:p>
      <w:pPr>
        <w:pStyle w:val="LOnormal"/>
        <w:ind w:right="-220" w:hanging="0"/>
        <w:jc w:val="both"/>
        <w:rPr>
          <w:rFonts w:ascii="Noto Serif Light" w:hAnsi="Noto Serif Light" w:eastAsia="Arial Narrow" w:cs="Calibri" w:cstheme="majorHAnsi"/>
          <w:color w:val="000000" w:themeColor="text1"/>
          <w:sz w:val="21"/>
          <w:szCs w:val="21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color w:val="000000" w:themeColor="text1"/>
          <w:sz w:val="21"/>
          <w:szCs w:val="2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/>
          <w:bCs/>
          <w:i/>
          <w:iCs/>
          <w:color w:val="000000" w:themeColor="text1"/>
          <w:sz w:val="21"/>
          <w:szCs w:val="21"/>
          <w:lang w:val="pt-BR" w:eastAsia="zh-CN" w:bidi="hi-IN"/>
        </w:rPr>
        <w:t>“</w:t>
      </w: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Art. 14</w:t>
      </w:r>
      <w:r>
        <w:rPr>
          <w:rFonts w:eastAsia="Arial Narrow" w:cs="Calibri" w:ascii="Noto Serif Light" w:hAnsi="Noto Serif Light" w:cstheme="majorHAnsi"/>
          <w:b/>
          <w:bCs/>
          <w:i/>
          <w:iCs/>
          <w:color w:val="000000" w:themeColor="text1"/>
          <w:sz w:val="21"/>
          <w:szCs w:val="21"/>
          <w:lang w:val="pt-BR" w:eastAsia="zh-CN" w:bidi="hi-IN"/>
        </w:rPr>
        <w:t xml:space="preserve">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(…)</w:t>
      </w:r>
    </w:p>
    <w:p>
      <w:pPr>
        <w:pStyle w:val="LOnormal"/>
        <w:ind w:left="850" w:right="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1º Caberá ao Município o licenciamento ambiental, de impacto local, dos empreendimentos e atividades:</w:t>
      </w:r>
    </w:p>
    <w:p>
      <w:pPr>
        <w:pStyle w:val="LOnormal"/>
        <w:ind w:left="850" w:right="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I - Que causem ou possam causar impacto ambiental, conforme a tipologia definida pelo Conselho Estadual de Meio Ambiente (CONSEMA), por meio da Resolução CONSEMA N.º 372/2018 e suas alterações ou por meio das legislações municipais vigentes, ou as que vierem a substituí-las, considerando os critérios de NATUREZA DA ATIVIDADE, POTENCIAL POLUIDOR e PORTE;</w:t>
      </w:r>
    </w:p>
    <w:p>
      <w:pPr>
        <w:pStyle w:val="LOnormal"/>
        <w:ind w:left="850" w:right="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II - Que lhes sejam delegados pelo Estado, por Instrumento Legal ou Convênio.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21"/>
          <w:szCs w:val="21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21"/>
          <w:szCs w:val="2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2º Caberá ao Órgão Ambiental Municipal emitir diretrizes de viabilidade ambiental para a instalação de atividades de impacto local que, de qualquer modo, possam degradar o meio ambiente.</w:t>
      </w:r>
    </w:p>
    <w:p>
      <w:pPr>
        <w:pStyle w:val="LOnormal"/>
        <w:ind w:left="850" w:right="0" w:hanging="0"/>
        <w:jc w:val="both"/>
        <w:rPr>
          <w:rFonts w:eastAsia="Arial Narrow" w:cs="Calibri" w:cstheme="majorHAnsi"/>
          <w:i/>
          <w:i/>
          <w:iCs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i/>
          <w:iCs/>
          <w:color w:val="000000" w:themeColor="text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(...)</w:t>
      </w:r>
    </w:p>
    <w:p>
      <w:pPr>
        <w:pStyle w:val="LOnormal"/>
        <w:ind w:left="720" w:hanging="0"/>
        <w:jc w:val="both"/>
        <w:rPr>
          <w:rFonts w:ascii="Noto Serif Light" w:hAnsi="Noto Serif Light" w:eastAsia="Arial Narrow" w:cs="Calibri" w:cstheme="majorHAnsi"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Art. 16</w:t>
      </w:r>
      <w:r>
        <w:rPr>
          <w:rFonts w:eastAsia="Arial Narrow" w:cs="Calibri" w:ascii="Noto Serif Light" w:hAnsi="Noto Serif Light" w:cstheme="majorHAnsi"/>
          <w:b/>
          <w:bCs/>
          <w:i/>
          <w:iCs/>
          <w:color w:val="000000" w:themeColor="text1"/>
          <w:sz w:val="21"/>
          <w:szCs w:val="21"/>
          <w:lang w:val="pt-BR" w:eastAsia="zh-CN" w:bidi="hi-IN"/>
        </w:rPr>
        <w:t xml:space="preserve">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(…)</w:t>
      </w:r>
    </w:p>
    <w:p>
      <w:pPr>
        <w:pStyle w:val="LOnormal"/>
        <w:ind w:left="850" w:right="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(...)</w:t>
      </w:r>
    </w:p>
    <w:p>
      <w:pPr>
        <w:pStyle w:val="LOnormal"/>
        <w:ind w:left="850" w:right="0" w:hanging="0"/>
        <w:jc w:val="both"/>
        <w:rPr>
          <w:rFonts w:eastAsia="Arial Narrow" w:cs="Calibri" w:cstheme="majorHAnsi"/>
          <w:b/>
          <w:b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b/>
          <w:color w:val="000000" w:themeColor="text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 xml:space="preserve">IV - Licença Ambiental Única (LU):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Para atividades e empreendimentos específicos, que por sua natureza e/ou peculiaridades poderão ter as etapas do procedimento licenciatório unificadas;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V - Licença Ambiental de Operação de Regularização (LOR):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Regulariza a atividade ou empreendimento para o exercício da atividade potencialmente poluidora que se encontra em operação e que não cumpriu o rito ordenado e sucessivo dos pedidos de licenciamento ambiental, estabelecendo as condições, as restrições e as medidas de controle ambiental, sem prejuízo das sanções previstas pelo descumprimento das normativas ordinárias;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 xml:space="preserve">VI - Licença Ambiental por Compromisso (LAC):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Autoriza, através de procedimento eletrônico específico, a localização, a instalação e a operação da atividade ou do empreendimento, mediante Declaração de Adesão e Compromisso (DAC) do empreendedor aos critérios, pré-condições, documentos, requisitos e condicionantes ambientais estabelecidos pela autoridade licenciadora e respeitadas as disposições definidas pelos Conselhos de Meio Ambiente.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1º As licenças indicadas nos incisos I, II e III do "caput" deste artigo poderão ser expedidas de forma sucessiva, aglutinadas ou isoladamente, conforme a natureza, características e fase do empreendimento ou da atividade e a taxa será o somatório dos valores de cada licença aglutinada; 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2º A especificação das atividades e empreendimentos, bem como o rol de documentos a serem apresentados para a obtenção e renovação da LU e da LOR serão definidos pelo Órgão Ambiental Municipal, através de Decreto Municipal; 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3º Os procedimentos relativos à emissão da LAC ou sua renovação, seguirão o estabelecido pela Resolução Estadual CONSEMA N.º 455/2021 ou outra que vier a substituí-la;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4º As licenças ambientais terão as seguintes vigências:</w:t>
      </w:r>
    </w:p>
    <w:p>
      <w:pPr>
        <w:pStyle w:val="LOnormal"/>
        <w:ind w:left="850" w:right="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a - LP: 2 (dois) anos;</w:t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b - LI: 2 (dois) anos;</w:t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c - LU, LO, LOR: Até 5 (cinco) anos para empreendimentos e atividades de potencial poluidor BAIXO, e até 4 (quatro) anos para empreendimentos e atividades de potencial poluidor MÉDIO e ALTO;</w:t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d - LAC: 5 (cinco) anos.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5º O Órgão Ambiental Municipal, mediante decisão motivada e devidamente justificada, poderá reduzir ou aumentar os prazos das licenças de acordo com o histórico na esfera ambiental dos empreendimentos e atividades, bem como dos seus responsáveis legais, tais como: cumprimento das condicionantes e prazos legais, autuações ambientais, existência de Termos de Ajustes de Conduta e Termos de Compromisso Ambiental (inclusive os firmados junto ao Ministério Público) entre outros passivos ambientais;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6º As renovações da Licença Prévia (LP) não poderão exceder a 5 (cinco) anos ou 2 (duas) renovações;</w:t>
      </w:r>
    </w:p>
    <w:p>
      <w:pPr>
        <w:pStyle w:val="LO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§7º As renovações da Licença de Instalação (LI) não poderão exceder 6 (seis) anos ou 3 (três) renovações;</w:t>
      </w:r>
    </w:p>
    <w:p>
      <w:pPr>
        <w:pStyle w:val="LOnormal"/>
        <w:jc w:val="both"/>
        <w:rPr>
          <w:rFonts w:ascii="Noto Serif Light" w:hAnsi="Noto Serif Light" w:eastAsia="Arial Narrow" w:cs="Calibri" w:cstheme="majorHAnsi"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ab/>
        <w:t>(...)</w:t>
      </w:r>
    </w:p>
    <w:p>
      <w:pPr>
        <w:pStyle w:val="LOnormal"/>
        <w:jc w:val="both"/>
        <w:rPr>
          <w:rFonts w:ascii="Noto Serif Light" w:hAnsi="Noto Serif Light" w:eastAsia="Arial Narrow" w:cs="Calibri" w:cstheme="majorHAnsi"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color w:val="000000" w:themeColor="text1"/>
          <w:sz w:val="12"/>
          <w:szCs w:val="12"/>
          <w:lang w:val="pt-BR" w:eastAsia="zh-CN" w:bidi="hi-IN"/>
        </w:rPr>
      </w:r>
    </w:p>
    <w:p>
      <w:pPr>
        <w:pStyle w:val="LOnormal"/>
        <w:ind w:left="72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Art. 73.</w:t>
      </w:r>
      <w:r>
        <w:rPr>
          <w:rFonts w:eastAsia="Arial Narrow" w:cs="Calibri" w:ascii="Noto Serif Light" w:hAnsi="Noto Serif Light" w:cstheme="majorHAnsi"/>
          <w:b/>
          <w:bCs/>
          <w:i/>
          <w:iCs/>
          <w:color w:val="000000" w:themeColor="text1"/>
          <w:sz w:val="21"/>
          <w:szCs w:val="21"/>
          <w:lang w:val="pt-BR" w:eastAsia="zh-CN" w:bidi="hi-IN"/>
        </w:rPr>
        <w:t xml:space="preserve"> </w:t>
      </w: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(…)</w:t>
      </w:r>
    </w:p>
    <w:p>
      <w:pPr>
        <w:pStyle w:val="LOnormal"/>
        <w:ind w:left="72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72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(...)</w:t>
      </w:r>
    </w:p>
    <w:p>
      <w:pPr>
        <w:pStyle w:val="LOnormal"/>
        <w:ind w:left="720" w:hanging="0"/>
        <w:jc w:val="both"/>
        <w:rPr>
          <w:rFonts w:ascii="Noto Serif Light" w:hAnsi="Noto Serif Light" w:cs="Calibri" w:cstheme="majorHAnsi"/>
          <w:i/>
          <w:i/>
          <w:iCs/>
          <w:sz w:val="12"/>
          <w:szCs w:val="12"/>
          <w:lang w:val="pt-BR" w:eastAsia="zh-CN" w:bidi="hi-IN"/>
        </w:rPr>
      </w:pPr>
      <w:r>
        <w:rPr>
          <w:rFonts w:cs="Calibri" w:cstheme="majorHAnsi" w:ascii="Noto Serif Light" w:hAnsi="Noto Serif Light"/>
          <w:i/>
          <w:iCs/>
          <w:sz w:val="12"/>
          <w:szCs w:val="12"/>
          <w:lang w:val="pt-BR" w:eastAsia="zh-CN" w:bidi="hi-IN"/>
        </w:rPr>
      </w:r>
    </w:p>
    <w:p>
      <w:pPr>
        <w:pStyle w:val="LOnormal"/>
        <w:ind w:left="72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3º A Diretoria do Conselho Municipal de Meio Ambiente será composta por 01 (um) Presidente, 01 (um) Vice-Presidente, 01 (um) Secretário e 02 (dois) suplentes, escolhidos dentre os seus membros, conforme estabelecido em seu Regimento Interno e terão mandato de 02 (dois) anos, podendo ser reconduzido por igual período. </w:t>
      </w:r>
    </w:p>
    <w:p>
      <w:pPr>
        <w:pStyle w:val="LOnormal"/>
        <w:ind w:left="720" w:hanging="0"/>
        <w:jc w:val="both"/>
        <w:rPr>
          <w:rFonts w:ascii="Noto Serif Light" w:hAnsi="Noto Serif Light" w:cs="Calibri" w:cstheme="majorHAnsi"/>
          <w:sz w:val="21"/>
          <w:szCs w:val="21"/>
          <w:lang w:val="pt-BR" w:eastAsia="zh-CN" w:bidi="hi-IN"/>
        </w:rPr>
      </w:pPr>
      <w:r>
        <w:rPr>
          <w:rFonts w:cs="Calibri" w:cstheme="majorHAnsi" w:ascii="Noto Serif Light" w:hAnsi="Noto Serif Light"/>
          <w:sz w:val="21"/>
          <w:szCs w:val="21"/>
          <w:lang w:val="pt-BR" w:eastAsia="zh-CN" w:bidi="hi-IN"/>
        </w:rPr>
      </w:r>
    </w:p>
    <w:p>
      <w:pPr>
        <w:pStyle w:val="LOnormal"/>
        <w:ind w:left="720" w:hanging="0"/>
        <w:jc w:val="both"/>
        <w:rPr>
          <w:rFonts w:ascii="Noto Serif Light" w:hAnsi="Noto Serif Light"/>
          <w:b w:val="false"/>
          <w:b w:val="false"/>
          <w:bCs w:val="false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Art. 74. (…)</w:t>
      </w:r>
    </w:p>
    <w:p>
      <w:pPr>
        <w:pStyle w:val="LOnormal"/>
        <w:ind w:left="72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72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(…)</w:t>
      </w:r>
    </w:p>
    <w:p>
      <w:pPr>
        <w:pStyle w:val="LOnormal"/>
        <w:ind w:left="72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72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XVII – oferecer sugestões sobre a aplicação dos recursos do Programa Municipal do Meio Ambiente do Município;</w:t>
      </w:r>
    </w:p>
    <w:p>
      <w:pPr>
        <w:pStyle w:val="LOnormal"/>
        <w:ind w:left="72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LOnormal"/>
        <w:ind w:left="72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(…)</w:t>
      </w:r>
    </w:p>
    <w:p>
      <w:pPr>
        <w:pStyle w:val="LOnormal"/>
        <w:ind w:left="72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Art. 78.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Fica criado o Programa Municipal do Meio Ambiente, vinculado ao Órgão Ambiental Municipal.</w:t>
      </w:r>
    </w:p>
    <w:p>
      <w:pPr>
        <w:pStyle w:val="Normal"/>
        <w:ind w:left="850" w:right="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1º Constituirão recursos do Programa Municipal de Meio Ambiente os provenientes de: </w:t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(...) 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2º Os recursos do Programa serão administrados pelo Órgão Ambiental Municipal e serão aplicados para:</w:t>
      </w:r>
    </w:p>
    <w:p>
      <w:pPr>
        <w:pStyle w:val="ListParagraph"/>
        <w:numPr>
          <w:ilvl w:val="0"/>
          <w:numId w:val="1"/>
        </w:numPr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custear e financiar atividades, obras e melhorias de instalações e/ou ações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destinadas à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preservação e conservação do meio ambiente, licenciamento ambiental, controle e fiscalização ambiental, executadas pelo Órgão Ambiental Municipal;</w:t>
      </w:r>
    </w:p>
    <w:p>
      <w:pPr>
        <w:pStyle w:val="ListParagraph"/>
        <w:numPr>
          <w:ilvl w:val="0"/>
          <w:numId w:val="1"/>
        </w:numPr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aquisição de material e equipamentos permanentes e de consumo, tecnologia e software e de outros instrumentos necessários à execução de atividades inerentes à política municipal de meio ambiente executadas pelo Órgão Ambiental Municipal;</w:t>
      </w:r>
    </w:p>
    <w:p>
      <w:pPr>
        <w:pStyle w:val="ListParagraph"/>
        <w:numPr>
          <w:ilvl w:val="0"/>
          <w:numId w:val="1"/>
        </w:numPr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contratação de serviços de terceiros, inclusive assessoria técnica e científica, para elaboração e execução de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planos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, estudos e projetos conforme políticas ambientais federal, estadual e/ou municipal; e </w:t>
      </w:r>
    </w:p>
    <w:p>
      <w:pPr>
        <w:pStyle w:val="ListParagraph"/>
        <w:numPr>
          <w:ilvl w:val="0"/>
          <w:numId w:val="1"/>
        </w:numPr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financiar projetos públicos ou privados, de interesse ambiental, sem fins lucrativos e executados no município de Dois Irmãos.</w:t>
      </w:r>
    </w:p>
    <w:p>
      <w:pPr>
        <w:pStyle w:val="ListParagraph"/>
        <w:numPr>
          <w:ilvl w:val="0"/>
          <w:numId w:val="0"/>
        </w:numPr>
        <w:ind w:left="288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3º Os projetos de interesse ambiental serão selecionados através de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legislação própria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e aprovados pelo Órgão Ambiental Municipal e Conselho Municipal de Meio Ambiente, sendo vedado aos seus membros e servidores ter vínculo e/ou conflito de interesses com eles; 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4º O Órgão Ambiental Municipal e o Conselho Municipal de Meio Ambiente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 xml:space="preserve">regulamentarão os procedimentos para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apresentação, seleção, termos de referência, valores a financiar, aprovação, prestação de contas que deverão ser apresentados pelos beneficiários dos projetos de interesse ambiental.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5º O CONSEMA acompanhará a aplicação dos recursos do Programa e solicitará informações à Administração Pública a qualquer momento;</w:t>
      </w:r>
    </w:p>
    <w:p>
      <w:pPr>
        <w:pStyle w:val="Normal"/>
        <w:ind w:left="850" w:right="0" w:hanging="0"/>
        <w:jc w:val="both"/>
        <w:rPr>
          <w:rFonts w:ascii="Noto Serif Light" w:hAnsi="Noto Serif Light" w:cs="Calibri" w:cstheme="majorHAnsi"/>
          <w:i/>
          <w:i/>
          <w:iCs/>
          <w:sz w:val="12"/>
          <w:szCs w:val="12"/>
          <w:lang w:val="pt-BR" w:eastAsia="zh-CN" w:bidi="hi-IN"/>
        </w:rPr>
      </w:pPr>
      <w:r>
        <w:rPr>
          <w:rFonts w:cs="Calibri" w:cstheme="majorHAnsi" w:ascii="Noto Serif Light" w:hAnsi="Noto Serif Light"/>
          <w:i/>
          <w:iCs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6º O saldo financeiro positivo do programa, apurado ao final de cada exercício financeiro, será transferido para o exercício seguinte, a crédito do mesmo programa.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7º Não poderão ser financiados pelo Programa Municipal do Meio Ambiente, ações, atividades e/ou projetos incompatíveis com a Política Municipal do Meio Ambiente, assim como com quaisquer normas e/ou critérios de preservação e proteção ambiental, presentes nas Legislações Federal, Estadual ou Municipal vigentes.</w:t>
      </w:r>
      <w:r>
        <w:rPr>
          <w:rFonts w:eastAsia="Arial Narrow" w:cs="Calibri" w:ascii="Noto Serif Light" w:hAnsi="Noto Serif Light" w:cstheme="majorHAnsi"/>
          <w:i/>
          <w:iCs/>
          <w:color w:val="000000"/>
          <w:sz w:val="21"/>
          <w:szCs w:val="21"/>
          <w:lang w:val="pt-BR" w:eastAsia="zh-CN" w:bidi="hi-IN"/>
        </w:rPr>
        <w:t xml:space="preserve"> Caso aconteça os recursos deverão ser imediatamente ressarcidos ao Programa devidamente corregidos.</w:t>
      </w:r>
    </w:p>
    <w:p>
      <w:pPr>
        <w:pStyle w:val="Normal"/>
        <w:ind w:left="850" w:right="0" w:hanging="0"/>
        <w:jc w:val="both"/>
        <w:rPr>
          <w:rFonts w:eastAsia="Arial Narrow" w:cs="Calibri" w:cstheme="majorHAnsi"/>
          <w:b w:val="false"/>
          <w:b w:val="false"/>
          <w:bCs w:val="false"/>
          <w:i/>
          <w:i/>
          <w:iCs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b w:val="false"/>
          <w:bCs w:val="false"/>
          <w:i/>
          <w:iCs/>
          <w:color w:val="000000" w:themeColor="text1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Art. 79.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Os atos previstos nesta Lei, no exercício do Poder de Polícia, bem como as licenças expedidas e outros serviços ambientais oferecidos, implicarão em pagamento de taxas que reverterão ao Programa Municipal do Meio Ambiente conforme tabela em anexo. 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21"/>
          <w:szCs w:val="21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21"/>
          <w:szCs w:val="21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1º Serão isentos do adimplemento da taxa, o Município de Dois Irmãos e suas entidades autárquicas e fundacionais e o Micro empreendedor Individual (MEI);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highlight w:val="yellow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highlight w:val="yellow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2º A taxa de licenciamento ambiental será calculada considerando o tipo de licença, período de vigência, o porte e potencial poluidor do empreendimento e/ou atividade e tabelada no anexo conforme a Base de Cálculo Municipal (BCM) vigente;</w:t>
      </w:r>
    </w:p>
    <w:p>
      <w:pPr>
        <w:pStyle w:val="Normal"/>
        <w:ind w:left="850" w:right="0" w:hanging="0"/>
        <w:jc w:val="both"/>
        <w:rPr>
          <w:rFonts w:ascii="Noto Serif Light" w:hAnsi="Noto Serif Light" w:cs="Calibri" w:cstheme="majorHAnsi"/>
          <w:i/>
          <w:i/>
          <w:iCs/>
          <w:sz w:val="12"/>
          <w:szCs w:val="12"/>
          <w:lang w:val="pt-BR" w:eastAsia="zh-CN" w:bidi="hi-IN"/>
        </w:rPr>
      </w:pPr>
      <w:r>
        <w:rPr>
          <w:rFonts w:cs="Calibri" w:cstheme="majorHAnsi" w:ascii="Noto Serif Light" w:hAnsi="Noto Serif Light"/>
          <w:i/>
          <w:iCs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3º As taxas das novas licenças desta lei serão estabelecidas da seguinte forma:</w:t>
      </w:r>
    </w:p>
    <w:p>
      <w:pPr>
        <w:pStyle w:val="Normal"/>
        <w:ind w:left="850" w:right="0" w:hanging="0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Normal"/>
        <w:numPr>
          <w:ilvl w:val="0"/>
          <w:numId w:val="2"/>
        </w:numPr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Licença Ambiental Única (LU) e da Licença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por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Compromisso (LAC) será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a mesma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taxa da Licença de Operação (LO);</w:t>
      </w:r>
    </w:p>
    <w:p>
      <w:pPr>
        <w:pStyle w:val="Normal"/>
        <w:numPr>
          <w:ilvl w:val="0"/>
          <w:numId w:val="2"/>
        </w:numPr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Licença A</w:t>
      </w: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mbiental de Operação de Regularização (LOR) será utilizada como base de cálculo a taxa da Licença de Operação (LO) com acréscimo de 50% (cinquenta por cento);</w:t>
      </w:r>
    </w:p>
    <w:p>
      <w:pPr>
        <w:pStyle w:val="Normal"/>
        <w:numPr>
          <w:ilvl w:val="0"/>
          <w:numId w:val="2"/>
        </w:numPr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 xml:space="preserve">As taxas das Licenças Prévia (LP) e de Operação (LO) </w:t>
      </w: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será</w:t>
      </w: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 xml:space="preserve"> acrescentado o valor anual </w:t>
      </w: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de acordo com a</w:t>
      </w: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 xml:space="preserve"> vigência;</w:t>
      </w:r>
    </w:p>
    <w:p>
      <w:pPr>
        <w:pStyle w:val="Normal"/>
        <w:numPr>
          <w:ilvl w:val="0"/>
          <w:numId w:val="2"/>
        </w:numPr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bCs w:val="false"/>
          <w:i/>
          <w:iCs/>
          <w:color w:val="000000" w:themeColor="text1"/>
          <w:sz w:val="21"/>
          <w:szCs w:val="21"/>
          <w:lang w:val="pt-BR" w:eastAsia="zh-CN" w:bidi="hi-IN"/>
        </w:rPr>
        <w:t>A taxa de Licença Ambiental de Instalação (LI) se mantém sem alteração.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4º A taxa de licenciamento ambiental a vencer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kern w:val="0"/>
          <w:sz w:val="21"/>
          <w:szCs w:val="21"/>
          <w:lang w:val="pt-BR" w:eastAsia="zh-CN" w:bidi="hi-IN"/>
        </w:rPr>
        <w:t>poderá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 ser emitida numa única cota pelo valor total, </w:t>
      </w:r>
      <w:r>
        <w:rPr>
          <w:rFonts w:eastAsia="Arial Narrow" w:cs="Calibri" w:ascii="Noto Serif Light" w:hAnsi="Noto Serif Light" w:cstheme="majorHAnsi"/>
          <w:b w:val="false"/>
          <w:i/>
          <w:iCs/>
          <w:caps w:val="false"/>
          <w:smallCaps w:val="false"/>
          <w:color w:val="000000" w:themeColor="text1"/>
          <w:spacing w:val="0"/>
          <w:sz w:val="21"/>
          <w:szCs w:val="21"/>
          <w:shd w:fill="auto" w:val="clear"/>
          <w:lang w:val="pt-BR" w:eastAsia="zh-CN" w:bidi="hi-IN"/>
        </w:rPr>
        <w:t>hipótese em que será concedido desconto de 10% (dez por cento)</w:t>
      </w:r>
      <w:r>
        <w:rPr>
          <w:rFonts w:eastAsia="Arial Narrow" w:cs="Calibri" w:ascii="Noto Serif Light" w:hAnsi="Noto Serif Light" w:cstheme="majorHAnsi"/>
          <w:b w:val="false"/>
          <w:i/>
          <w:iCs/>
          <w:caps w:val="false"/>
          <w:smallCaps w:val="false"/>
          <w:color w:val="000000" w:themeColor="text1"/>
          <w:spacing w:val="0"/>
          <w:sz w:val="21"/>
          <w:szCs w:val="21"/>
          <w:lang w:val="pt-BR" w:eastAsia="zh-CN" w:bidi="hi-IN"/>
        </w:rPr>
        <w:t xml:space="preserve">, </w:t>
      </w: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ou parcelada em até 24 (vinte e quatro) parcelas mensais iguais e consecutivas </w:t>
      </w:r>
      <w:r>
        <w:rPr>
          <w:rFonts w:eastAsia="Arial Narrow" w:cs="Calibri" w:ascii="Noto Serif Light" w:hAnsi="Noto Serif Light" w:cstheme="majorHAnsi"/>
          <w:b w:val="false"/>
          <w:i/>
          <w:iCs/>
          <w:caps w:val="false"/>
          <w:smallCaps w:val="false"/>
          <w:color w:val="000000" w:themeColor="text1"/>
          <w:spacing w:val="0"/>
          <w:sz w:val="21"/>
          <w:szCs w:val="21"/>
          <w:lang w:val="pt-BR" w:eastAsia="zh-CN" w:bidi="hi-IN"/>
        </w:rPr>
        <w:t>não podendo a prestação ser inferior a 0,25 (zero vírgula vinte e cinco) BCM;</w:t>
      </w:r>
    </w:p>
    <w:p>
      <w:pPr>
        <w:pStyle w:val="Normal"/>
        <w:ind w:left="850" w:right="0" w:hanging="0"/>
        <w:jc w:val="both"/>
        <w:rPr>
          <w:rFonts w:ascii="Noto Serif Light" w:hAnsi="Noto Serif Light" w:cs="Calibri" w:cstheme="majorHAnsi"/>
          <w:i/>
          <w:i/>
          <w:iCs/>
          <w:sz w:val="12"/>
          <w:szCs w:val="12"/>
          <w:lang w:val="pt-BR" w:eastAsia="zh-CN" w:bidi="hi-IN"/>
        </w:rPr>
      </w:pPr>
      <w:r>
        <w:rPr>
          <w:rFonts w:cs="Calibri" w:cstheme="majorHAnsi" w:ascii="Noto Serif Light" w:hAnsi="Noto Serif Light"/>
          <w:i/>
          <w:iCs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b w:val="false"/>
          <w:i/>
          <w:iCs/>
          <w:caps w:val="false"/>
          <w:smallCaps w:val="false"/>
          <w:color w:val="000000" w:themeColor="text1"/>
          <w:spacing w:val="0"/>
          <w:sz w:val="21"/>
          <w:szCs w:val="21"/>
          <w:lang w:val="pt-BR" w:eastAsia="zh-CN" w:bidi="hi-IN"/>
        </w:rPr>
        <w:t xml:space="preserve">§ 5º O atraso no pagamento de qualquer parcela ensejará a incidência dos encargos moratórios e outras disposições previstos na Lei Municipal n° 4.535/2017 e alterações, a revogação da licença e aplicação das sanções conforme a </w:t>
      </w:r>
      <w:r>
        <w:rPr>
          <w:rFonts w:eastAsia="Arial Narrow" w:cs="Calibri" w:ascii="Noto Serif Light" w:hAnsi="Noto Serif Light" w:cstheme="majorHAnsi"/>
          <w:b w:val="false"/>
          <w:i/>
          <w:iCs/>
          <w:caps w:val="false"/>
          <w:smallCaps w:val="false"/>
          <w:color w:val="000000" w:themeColor="text1"/>
          <w:spacing w:val="0"/>
          <w:kern w:val="0"/>
          <w:sz w:val="21"/>
          <w:szCs w:val="21"/>
          <w:lang w:val="pt-BR" w:eastAsia="zh-CN" w:bidi="hi-IN"/>
        </w:rPr>
        <w:t>legislação ambiental municipal</w:t>
      </w:r>
      <w:r>
        <w:rPr>
          <w:rFonts w:eastAsia="Arial Narrow" w:cs="Calibri" w:ascii="Noto Serif Light" w:hAnsi="Noto Serif Light" w:cstheme="majorHAnsi"/>
          <w:b w:val="false"/>
          <w:i/>
          <w:iCs/>
          <w:caps w:val="false"/>
          <w:smallCaps w:val="false"/>
          <w:color w:val="000000" w:themeColor="text1"/>
          <w:spacing w:val="0"/>
          <w:sz w:val="21"/>
          <w:szCs w:val="21"/>
          <w:lang w:val="pt-BR" w:eastAsia="zh-CN" w:bidi="hi-IN"/>
        </w:rPr>
        <w:t>;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>§ 6º Para a análise do licenciamento ambiental a taxa deverá estar quitada, exceto nos casos de parcelamento que será exigido o pagamento da primeira parcela, contudo para a renovação da licença não deverão existir débitos ambientais;</w:t>
      </w:r>
    </w:p>
    <w:p>
      <w:pPr>
        <w:pStyle w:val="Normal"/>
        <w:ind w:left="850" w:right="0" w:hanging="0"/>
        <w:jc w:val="both"/>
        <w:rPr>
          <w:rFonts w:ascii="Noto Serif Light" w:hAnsi="Noto Serif Light" w:eastAsia="Arial Narrow" w:cs="Calibri" w:cstheme="majorHAnsi"/>
          <w:i/>
          <w:i/>
          <w:iCs/>
          <w:color w:val="000000" w:themeColor="text1"/>
          <w:sz w:val="12"/>
          <w:szCs w:val="12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i/>
          <w:iCs/>
          <w:color w:val="000000" w:themeColor="text1"/>
          <w:sz w:val="12"/>
          <w:szCs w:val="12"/>
          <w:lang w:val="pt-BR" w:eastAsia="zh-CN" w:bidi="hi-IN"/>
        </w:rPr>
      </w:r>
    </w:p>
    <w:p>
      <w:pPr>
        <w:pStyle w:val="Normal"/>
        <w:ind w:left="850" w:right="0" w:hanging="0"/>
        <w:jc w:val="both"/>
        <w:rPr>
          <w:rFonts w:ascii="Noto Serif Light" w:hAnsi="Noto Serif Light"/>
          <w:i/>
          <w:i/>
          <w:iCs/>
          <w:sz w:val="21"/>
          <w:szCs w:val="21"/>
        </w:rPr>
      </w:pPr>
      <w:r>
        <w:rPr>
          <w:rFonts w:eastAsia="Arial Narrow" w:cs="Calibri" w:ascii="Noto Serif Light" w:hAnsi="Noto Serif Light" w:cstheme="majorHAnsi"/>
          <w:i/>
          <w:iCs/>
          <w:color w:val="000000" w:themeColor="text1"/>
          <w:sz w:val="21"/>
          <w:szCs w:val="21"/>
          <w:lang w:val="pt-BR" w:eastAsia="zh-CN" w:bidi="hi-IN"/>
        </w:rPr>
        <w:t xml:space="preserve">§ 7º </w:t>
      </w:r>
      <w:r>
        <w:rPr>
          <w:rFonts w:eastAsia="Arial Narrow" w:cs="Calibri" w:ascii="Noto Serif Light" w:hAnsi="Noto Serif Light" w:cstheme="majorHAnsi"/>
          <w:i/>
          <w:iCs/>
          <w:color w:val="00000A"/>
          <w:sz w:val="21"/>
          <w:szCs w:val="21"/>
          <w:lang w:val="pt-BR" w:eastAsia="zh-CN" w:bidi="hi-IN"/>
        </w:rPr>
        <w:t>A emissão dos boletos das taxas ambientais será realizada pelo Órgão Ambiental Municipal e/ou a Secretaria Municipal da Fazenda e terão prazo de vencimento de 30 (trinta) dias para efetuar o pagamento.</w:t>
      </w:r>
    </w:p>
    <w:p>
      <w:pPr>
        <w:pStyle w:val="Normal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ab/>
      </w:r>
      <w:r>
        <w:rPr>
          <w:rFonts w:eastAsia="Arial Narrow" w:cs="Calibri" w:ascii="Noto Serif Light" w:hAnsi="Noto Serif Light" w:cstheme="majorHAnsi"/>
          <w:b/>
          <w:bCs/>
          <w:color w:val="000000" w:themeColor="text1"/>
          <w:sz w:val="21"/>
          <w:szCs w:val="21"/>
          <w:lang w:val="pt-BR" w:eastAsia="zh-CN" w:bidi="hi-IN"/>
        </w:rPr>
        <w:t xml:space="preserve">Art. 2º </w:t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 xml:space="preserve">O Título VI da Lei Municipal nº 1671, de 31 de agosto de 1999, passa a viger com a seguinte redação: </w:t>
      </w:r>
    </w:p>
    <w:p>
      <w:pPr>
        <w:pStyle w:val="Normal"/>
        <w:ind w:left="720" w:hanging="0"/>
        <w:jc w:val="both"/>
        <w:rPr>
          <w:rFonts w:ascii="Noto Serif Light" w:hAnsi="Noto Serif Light" w:cs="Calibri" w:cstheme="majorHAnsi"/>
          <w:sz w:val="21"/>
          <w:szCs w:val="21"/>
          <w:lang w:val="pt-BR" w:eastAsia="zh-CN" w:bidi="hi-IN"/>
        </w:rPr>
      </w:pPr>
      <w:r>
        <w:rPr>
          <w:rFonts w:cs="Calibri" w:cstheme="majorHAnsi"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ind w:left="720" w:hanging="0"/>
        <w:jc w:val="both"/>
        <w:rPr>
          <w:rFonts w:ascii="Noto Serif Light" w:hAnsi="Noto Serif Light"/>
          <w:sz w:val="21"/>
          <w:szCs w:val="21"/>
        </w:rPr>
      </w:pPr>
      <w:bookmarkStart w:id="1" w:name="titulo_vi367320"/>
      <w:bookmarkEnd w:id="1"/>
      <w:r>
        <w:rPr>
          <w:rFonts w:eastAsia="Arial Narrow" w:cs="Calibri" w:ascii="Noto Serif Light" w:hAnsi="Noto Serif Light" w:cstheme="majorHAnsi"/>
          <w:b/>
          <w:bCs/>
          <w:color w:val="000000" w:themeColor="text1"/>
          <w:sz w:val="21"/>
          <w:szCs w:val="21"/>
          <w:lang w:val="pt-BR" w:eastAsia="zh-CN" w:bidi="hi-IN"/>
        </w:rPr>
        <w:tab/>
      </w:r>
      <w:r>
        <w:rPr>
          <w:rFonts w:eastAsia="Arial Narrow" w:cs="Calibri" w:ascii="Noto Serif Light" w:hAnsi="Noto Serif Light" w:cstheme="majorHAnsi"/>
          <w:b/>
          <w:bCs/>
          <w:i/>
          <w:iCs/>
          <w:color w:val="000000" w:themeColor="text1"/>
          <w:sz w:val="21"/>
          <w:szCs w:val="21"/>
          <w:lang w:val="pt-BR" w:eastAsia="zh-CN" w:bidi="hi-IN"/>
        </w:rPr>
        <w:t>“</w:t>
      </w:r>
      <w:r>
        <w:rPr>
          <w:rFonts w:eastAsia="Arial Narrow" w:cs="Calibri" w:ascii="Noto Serif Light" w:hAnsi="Noto Serif Light" w:cstheme="majorHAnsi"/>
          <w:b/>
          <w:bCs/>
          <w:i/>
          <w:iCs/>
          <w:color w:val="000000" w:themeColor="text1"/>
          <w:sz w:val="21"/>
          <w:szCs w:val="21"/>
          <w:highlight w:val="white"/>
          <w:lang w:val="pt-BR" w:eastAsia="zh-CN" w:bidi="hi-IN"/>
        </w:rPr>
        <w:t xml:space="preserve">TÍTULO VI </w:t>
      </w:r>
      <w:r>
        <w:rPr>
          <w:rFonts w:eastAsia="Arial Narrow" w:cs="Calibri" w:ascii="Noto Serif Light" w:hAnsi="Noto Serif Light" w:cstheme="majorHAnsi"/>
          <w:b/>
          <w:bCs/>
          <w:i/>
          <w:iCs/>
          <w:color w:val="000000" w:themeColor="text1"/>
          <w:sz w:val="21"/>
          <w:szCs w:val="21"/>
          <w:lang w:val="pt-BR" w:eastAsia="zh-CN" w:bidi="hi-IN"/>
        </w:rPr>
        <w:t xml:space="preserve">DO PROGRAMA MUNICIPAL DO MEIO AMBIENTE </w:t>
      </w:r>
      <w:r>
        <w:rPr>
          <w:rFonts w:eastAsia="Arial Narrow" w:cs="Calibri" w:ascii="Noto Serif Light" w:hAnsi="Noto Serif Light" w:cstheme="majorHAnsi"/>
          <w:b/>
          <w:bCs/>
          <w:i/>
          <w:iCs/>
          <w:color w:val="000000"/>
          <w:sz w:val="21"/>
          <w:szCs w:val="21"/>
          <w:lang w:val="pt-BR" w:eastAsia="zh-CN" w:bidi="hi-IN"/>
        </w:rPr>
        <w:t>“</w:t>
      </w:r>
    </w:p>
    <w:p>
      <w:pPr>
        <w:pStyle w:val="Normal"/>
        <w:ind w:hanging="0"/>
        <w:jc w:val="both"/>
        <w:rPr>
          <w:rFonts w:ascii="Noto Serif Light" w:hAnsi="Noto Serif Light"/>
          <w:sz w:val="21"/>
          <w:szCs w:val="21"/>
        </w:rPr>
      </w:pPr>
      <w:r>
        <w:rPr>
          <w:rFonts w:eastAsia="Arial Narrow" w:cs="Calibri" w:ascii="Noto Serif Light" w:hAnsi="Noto Serif Light" w:cstheme="majorHAnsi"/>
          <w:b/>
          <w:bCs/>
          <w:color w:val="000000" w:themeColor="text1"/>
          <w:sz w:val="21"/>
          <w:szCs w:val="21"/>
          <w:lang w:val="pt-BR" w:eastAsia="zh-CN" w:bidi="hi-IN"/>
        </w:rPr>
        <w:tab/>
      </w:r>
    </w:p>
    <w:p>
      <w:pPr>
        <w:pStyle w:val="Normal"/>
        <w:jc w:val="both"/>
        <w:rPr>
          <w:rFonts w:ascii="Noto Serif Light" w:hAnsi="Noto Serif Light"/>
          <w:sz w:val="21"/>
          <w:szCs w:val="21"/>
        </w:rPr>
      </w:pPr>
      <w:bookmarkStart w:id="2" w:name="artigo_2"/>
      <w:bookmarkStart w:id="3" w:name="artigo_82"/>
      <w:bookmarkEnd w:id="2"/>
      <w:bookmarkEnd w:id="3"/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ab/>
      </w:r>
      <w:r>
        <w:rPr>
          <w:rFonts w:eastAsia="Arial Narrow" w:cs="Calibri" w:ascii="Noto Serif Light" w:hAnsi="Noto Serif Light" w:cstheme="majorHAnsi"/>
          <w:b/>
          <w:bCs/>
          <w:color w:val="000000" w:themeColor="text1"/>
          <w:sz w:val="21"/>
          <w:szCs w:val="21"/>
          <w:lang w:val="pt-BR" w:eastAsia="zh-CN" w:bidi="hi-IN"/>
        </w:rPr>
        <w:t>Art. 3º</w:t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 xml:space="preserve"> Revogam-se as disposições em contrário.</w:t>
      </w:r>
    </w:p>
    <w:p>
      <w:pPr>
        <w:pStyle w:val="Normal"/>
        <w:jc w:val="both"/>
        <w:rPr>
          <w:rFonts w:ascii="Noto Serif Light" w:hAnsi="Noto Serif Light" w:eastAsia="Arial Narrow" w:cs="Calibri" w:cstheme="majorHAnsi"/>
          <w:color w:val="000000" w:themeColor="text1"/>
          <w:sz w:val="21"/>
          <w:szCs w:val="21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color w:val="000000" w:themeColor="text1"/>
          <w:sz w:val="21"/>
          <w:szCs w:val="21"/>
          <w:lang w:val="pt-BR" w:eastAsia="zh-CN" w:bidi="hi-IN"/>
        </w:rPr>
      </w:r>
    </w:p>
    <w:p>
      <w:pPr>
        <w:pStyle w:val="Normal"/>
        <w:jc w:val="both"/>
        <w:rPr>
          <w:rFonts w:ascii="Noto Serif Light" w:hAnsi="Noto Serif Light"/>
          <w:sz w:val="21"/>
          <w:szCs w:val="21"/>
        </w:rPr>
      </w:pPr>
      <w:bookmarkStart w:id="4" w:name="artigo_3"/>
      <w:bookmarkEnd w:id="4"/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ab/>
      </w:r>
      <w:r>
        <w:rPr>
          <w:rFonts w:eastAsia="Arial Narrow" w:cs="Calibri" w:ascii="Noto Serif Light" w:hAnsi="Noto Serif Light" w:cstheme="majorHAnsi"/>
          <w:b/>
          <w:bCs/>
          <w:color w:val="000000" w:themeColor="text1"/>
          <w:sz w:val="21"/>
          <w:szCs w:val="21"/>
          <w:lang w:val="pt-BR" w:eastAsia="zh-CN" w:bidi="hi-IN"/>
        </w:rPr>
        <w:t xml:space="preserve">Art. 4º </w:t>
      </w:r>
      <w:r>
        <w:rPr>
          <w:rFonts w:eastAsia="Arial Narrow"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>Esta Lei entrará em vigor na data da sua publicação.</w:t>
      </w:r>
    </w:p>
    <w:p>
      <w:pPr>
        <w:pStyle w:val="Normal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Normal"/>
        <w:spacing w:lineRule="auto" w:line="276"/>
        <w:ind w:left="0" w:right="0" w:hanging="0"/>
        <w:jc w:val="both"/>
        <w:rPr>
          <w:rFonts w:ascii="Noto Serif Light" w:hAnsi="Noto Serif Light"/>
          <w:sz w:val="21"/>
          <w:szCs w:val="21"/>
        </w:rPr>
      </w:pP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1"/>
          <w:szCs w:val="21"/>
        </w:rPr>
        <w:tab/>
        <w:t>GABINETE DO PREFEITO MUNICIPAL DE DOIS IRMÃOS/RS, EM 21 DE SETEMBRO DE 2023.</w:t>
      </w:r>
    </w:p>
    <w:p>
      <w:pPr>
        <w:pStyle w:val="Normal"/>
        <w:spacing w:lineRule="auto" w:line="276"/>
        <w:ind w:left="0" w:right="0" w:hanging="0"/>
        <w:jc w:val="both"/>
        <w:rPr>
          <w:rFonts w:ascii="Noto Serif Light" w:hAnsi="Noto Serif Light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1"/>
          <w:szCs w:val="21"/>
        </w:rPr>
      </w:r>
    </w:p>
    <w:p>
      <w:pPr>
        <w:pStyle w:val="Normal"/>
        <w:widowControl w:val="false"/>
        <w:spacing w:lineRule="auto" w:line="276"/>
        <w:ind w:left="0" w:right="0" w:hanging="0"/>
        <w:jc w:val="right"/>
        <w:rPr>
          <w:rFonts w:ascii="Noto Serif Light" w:hAnsi="Noto Serif Light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Noto Serif Light" w:hAnsi="Noto Serif Light"/>
          <w:b/>
          <w:bCs/>
          <w:color w:val="000000"/>
          <w:sz w:val="21"/>
          <w:szCs w:val="21"/>
        </w:rPr>
        <w:t xml:space="preserve">JERRI ADRIANI MENEGHETTI, </w:t>
      </w:r>
    </w:p>
    <w:p>
      <w:pPr>
        <w:pStyle w:val="Normal"/>
        <w:widowControl w:val="false"/>
        <w:spacing w:lineRule="auto" w:line="276"/>
        <w:ind w:left="0" w:right="0" w:firstLine="1701"/>
        <w:jc w:val="right"/>
        <w:rPr>
          <w:rFonts w:ascii="Noto Serif Light" w:hAnsi="Noto Serif Light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Noto Serif Light" w:hAnsi="Noto Serif Light"/>
          <w:b/>
          <w:bCs/>
          <w:color w:val="000000"/>
          <w:sz w:val="21"/>
          <w:szCs w:val="21"/>
        </w:rPr>
        <w:t>PREFEITO MUNICIPAL.</w:t>
      </w:r>
    </w:p>
    <w:p>
      <w:pPr>
        <w:pStyle w:val="Normal"/>
        <w:spacing w:lineRule="auto" w:line="276"/>
        <w:jc w:val="both"/>
        <w:rPr>
          <w:rFonts w:eastAsia="Arial Narrow" w:cs="Calibri" w:cstheme="majorHAnsi"/>
          <w:color w:val="000000" w:themeColor="text1"/>
          <w:lang w:val="pt-BR" w:eastAsia="zh-CN" w:bidi="hi-IN"/>
        </w:rPr>
      </w:pPr>
      <w:r>
        <w:rPr>
          <w:rFonts w:eastAsia="Arial Narrow" w:cs="Calibri" w:cstheme="majorHAnsi"/>
          <w:color w:val="000000" w:themeColor="text1"/>
          <w:lang w:val="pt-BR" w:eastAsia="zh-CN" w:bidi="hi-IN"/>
        </w:rPr>
      </w:r>
    </w:p>
    <w:p>
      <w:pPr>
        <w:pStyle w:val="Normal"/>
        <w:jc w:val="both"/>
        <w:rPr>
          <w:rFonts w:ascii="Noto Serif Light" w:hAnsi="Noto Serif Light" w:eastAsia="Arial Narrow" w:cs="Calibri" w:cstheme="majorHAnsi"/>
          <w:color w:val="000000" w:themeColor="text1"/>
          <w:sz w:val="21"/>
          <w:szCs w:val="21"/>
          <w:lang w:val="pt-BR" w:eastAsia="zh-CN" w:bidi="hi-IN"/>
        </w:rPr>
      </w:pPr>
      <w:r>
        <w:rPr>
          <w:rFonts w:eastAsia="Arial Narrow" w:cs="Calibri" w:cstheme="majorHAnsi" w:ascii="Noto Serif Light" w:hAnsi="Noto Serif Light"/>
          <w:color w:val="000000" w:themeColor="text1"/>
          <w:sz w:val="21"/>
          <w:szCs w:val="21"/>
          <w:lang w:val="pt-BR" w:eastAsia="zh-CN" w:bidi="hi-IN"/>
        </w:rPr>
      </w:r>
    </w:p>
    <w:p>
      <w:pPr>
        <w:pStyle w:val="Normal"/>
        <w:rPr>
          <w:rFonts w:ascii="Noto Serif Light" w:hAnsi="Noto Serif Light"/>
        </w:rPr>
      </w:pPr>
      <w:r>
        <w:rPr>
          <w:rFonts w:cs="Calibri" w:ascii="Noto Serif Light" w:hAnsi="Noto Serif Light" w:cstheme="majorHAnsi"/>
          <w:color w:val="000000" w:themeColor="text1"/>
          <w:sz w:val="21"/>
          <w:szCs w:val="21"/>
          <w:lang w:val="pt-BR" w:eastAsia="zh-CN" w:bidi="hi-IN"/>
        </w:rPr>
        <w:tab/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center"/>
        <w:rPr>
          <w:lang w:val="pt-BR" w:eastAsia="zh-CN" w:bidi="hi-IN"/>
        </w:rPr>
      </w:pPr>
      <w:r>
        <w:rPr>
          <w:rFonts w:eastAsia="Arial Narrow" w:cs="Cambria" w:ascii="Calibri" w:hAnsi="Calibri" w:cstheme="minorHAnsi"/>
          <w:b/>
          <w:bCs/>
          <w:color w:val="000000" w:themeColor="text1"/>
          <w:sz w:val="21"/>
          <w:szCs w:val="21"/>
          <w:lang w:val="pt-BR" w:eastAsia="zh-CN" w:bidi="hi-IN"/>
        </w:rPr>
        <w:t xml:space="preserve">ANEXO II </w:t>
      </w:r>
    </w:p>
    <w:p>
      <w:pPr>
        <w:pStyle w:val="Normal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jc w:val="both"/>
        <w:rPr>
          <w:lang w:val="pt-BR" w:eastAsia="zh-CN" w:bidi="hi-IN"/>
        </w:rPr>
      </w:pPr>
      <w:r>
        <w:rPr>
          <w:rFonts w:eastAsia="Arial Narrow" w:cs="Cambria" w:ascii="Calibri" w:hAnsi="Calibri" w:cstheme="minorHAnsi"/>
          <w:color w:val="000000" w:themeColor="text1"/>
          <w:sz w:val="21"/>
          <w:szCs w:val="21"/>
          <w:lang w:val="pt-BR" w:eastAsia="zh-CN" w:bidi="hi-IN"/>
        </w:rPr>
        <w:t>Tabela de taxas de licenciamento ambiental para o ano 2023*</w:t>
      </w:r>
    </w:p>
    <w:p>
      <w:pPr>
        <w:pStyle w:val="Normal"/>
        <w:jc w:val="both"/>
        <w:rPr>
          <w:rFonts w:ascii="Calibri" w:hAnsi="Calibri"/>
          <w:lang w:val="pt-BR" w:eastAsia="zh-CN" w:bidi="hi-IN"/>
        </w:rPr>
      </w:pPr>
      <w:r>
        <w:rPr>
          <w:rFonts w:ascii="Calibri" w:hAnsi="Calibri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-160020</wp:posOffset>
            </wp:positionH>
            <wp:positionV relativeFrom="paragraph">
              <wp:posOffset>21590</wp:posOffset>
            </wp:positionV>
            <wp:extent cx="6330950" cy="1101090"/>
            <wp:effectExtent l="0" t="0" r="0" b="0"/>
            <wp:wrapSquare wrapText="largest"/>
            <wp:docPr id="1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Arial Narrow" w:cs="Cambria" w:ascii="Calibri" w:hAnsi="Calibri" w:cstheme="minorHAnsi"/>
          <w:b/>
          <w:bCs/>
          <w:color w:val="000000" w:themeColor="text1"/>
          <w:sz w:val="20"/>
          <w:szCs w:val="20"/>
          <w:u w:val="none"/>
          <w:lang w:val="pt-BR" w:eastAsia="zh-CN" w:bidi="hi-IN"/>
        </w:rPr>
        <w:t>*</w:t>
      </w:r>
      <w:r>
        <w:rPr>
          <w:rFonts w:eastAsia="Arial Narrow" w:cs="Cambria" w:ascii="Calibri" w:hAnsi="Calibri" w:cstheme="minorHAnsi"/>
          <w:b/>
          <w:bCs/>
          <w:color w:val="000000" w:themeColor="text1"/>
          <w:sz w:val="20"/>
          <w:szCs w:val="20"/>
          <w:u w:val="none"/>
          <w:lang w:val="pt-BR" w:eastAsia="zh-CN" w:bidi="hi-IN"/>
        </w:rPr>
        <w:t xml:space="preserve"> Cálculo </w:t>
      </w:r>
      <w:r>
        <w:rPr>
          <w:rFonts w:eastAsia="Arial Narrow" w:cs="Cambria" w:ascii="Calibri" w:hAnsi="Calibri" w:cstheme="minorHAnsi"/>
          <w:b/>
          <w:bCs/>
          <w:color w:val="000000" w:themeColor="text1"/>
          <w:kern w:val="0"/>
          <w:sz w:val="20"/>
          <w:szCs w:val="20"/>
          <w:u w:val="none"/>
          <w:lang w:val="pt-BR" w:eastAsia="zh-CN" w:bidi="hi-IN"/>
        </w:rPr>
        <w:t>de acordo com a</w:t>
      </w:r>
      <w:r>
        <w:rPr>
          <w:rFonts w:eastAsia="Arial Narrow" w:cs="Cambria" w:ascii="Calibri" w:hAnsi="Calibri" w:cstheme="minorHAnsi"/>
          <w:b w:val="false"/>
          <w:bCs w:val="false"/>
          <w:color w:val="000000" w:themeColor="text1"/>
          <w:sz w:val="20"/>
          <w:szCs w:val="20"/>
          <w:u w:val="none"/>
          <w:lang w:val="pt-BR" w:eastAsia="zh-CN" w:bidi="hi-IN"/>
        </w:rPr>
        <w:t xml:space="preserve"> </w:t>
      </w:r>
      <w:r>
        <w:rPr>
          <w:rFonts w:eastAsia="Arial Narrow" w:cs="Cambria" w:ascii="Calibri" w:hAnsi="Calibri" w:cstheme="minorHAnsi"/>
          <w:b w:val="false"/>
          <w:bCs w:val="false"/>
          <w:color w:val="000000" w:themeColor="text1"/>
          <w:sz w:val="20"/>
          <w:szCs w:val="20"/>
          <w:lang w:val="pt-BR" w:eastAsia="zh-CN" w:bidi="hi-IN"/>
        </w:rPr>
        <w:t xml:space="preserve">BCM vigente de 2023. </w:t>
      </w:r>
      <w:r>
        <w:rPr>
          <w:rFonts w:eastAsia="Arial Narrow" w:cs="Cambria" w:ascii="Calibri" w:hAnsi="Calibri" w:cstheme="minorHAnsi"/>
          <w:b w:val="false"/>
          <w:bCs w:val="false"/>
          <w:color w:val="000000" w:themeColor="text1"/>
          <w:kern w:val="0"/>
          <w:sz w:val="20"/>
          <w:szCs w:val="20"/>
          <w:lang w:val="pt-BR" w:eastAsia="zh-CN" w:bidi="hi-IN"/>
        </w:rPr>
        <w:t>O</w:t>
      </w:r>
      <w:r>
        <w:rPr>
          <w:rFonts w:eastAsia="Arial Narrow" w:cs="Cambria" w:ascii="Calibri" w:hAnsi="Calibri" w:cstheme="minorHAnsi"/>
          <w:b w:val="false"/>
          <w:bCs w:val="false"/>
          <w:color w:val="000000" w:themeColor="text1"/>
          <w:sz w:val="20"/>
          <w:szCs w:val="20"/>
          <w:lang w:val="pt-BR" w:eastAsia="zh-CN" w:bidi="hi-IN"/>
        </w:rPr>
        <w:t xml:space="preserve"> cálculo dos próximos anos será conforme a BCM do ano correspondente atualizado.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Arial Narrow" w:cs="Cambria" w:cstheme="minorHAnsi"/>
          <w:color w:val="000000" w:themeColor="text1"/>
          <w:lang w:val="pt-BR" w:eastAsia="zh-CN" w:bidi="hi-IN"/>
        </w:rPr>
      </w:pPr>
      <w:r>
        <w:rPr>
          <w:rFonts w:eastAsia="Arial Narrow" w:cs="Cambria" w:cstheme="minorHAnsi" w:ascii="Calibri" w:hAnsi="Calibri"/>
          <w:color w:val="000000" w:themeColor="text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 w:eastAsia="Arial Narrow" w:cs="Cambria" w:cstheme="minorHAnsi"/>
          <w:color w:val="000000" w:themeColor="text1"/>
          <w:lang w:val="pt-BR" w:eastAsia="zh-CN" w:bidi="hi-IN"/>
        </w:rPr>
      </w:pPr>
      <w:r>
        <w:rPr>
          <w:rFonts w:eastAsia="Arial Narrow" w:cs="Cambria" w:cstheme="minorHAnsi" w:ascii="Calibri" w:hAnsi="Calibri"/>
          <w:color w:val="000000" w:themeColor="text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rFonts w:cs="Cambria" w:ascii="Calibri" w:hAnsi="Calibri" w:cstheme="minorHAnsi"/>
          <w:b/>
          <w:bCs/>
          <w:color w:val="000000" w:themeColor="text1"/>
          <w:sz w:val="20"/>
          <w:szCs w:val="20"/>
          <w:lang w:val="pt-BR" w:eastAsia="zh-CN" w:bidi="hi-IN"/>
        </w:rPr>
        <w:t>LEGENDAS:</w:t>
      </w:r>
    </w:p>
    <w:tbl>
      <w:tblPr>
        <w:tblStyle w:val="TableNormal"/>
        <w:tblW w:w="9495" w:type="dxa"/>
        <w:jc w:val="left"/>
        <w:tblInd w:w="239" w:type="dxa"/>
        <w:tblLayout w:type="fixed"/>
        <w:tblCellMar>
          <w:top w:w="75" w:type="dxa"/>
          <w:left w:w="120" w:type="dxa"/>
          <w:bottom w:w="75" w:type="dxa"/>
          <w:right w:w="120" w:type="dxa"/>
        </w:tblCellMar>
        <w:tblLook w:firstRow="1" w:noVBand="1" w:lastRow="0" w:firstColumn="1" w:lastColumn="0" w:noHBand="0" w:val="04a0"/>
      </w:tblPr>
      <w:tblGrid>
        <w:gridCol w:w="3285"/>
        <w:gridCol w:w="4140"/>
        <w:gridCol w:w="2070"/>
      </w:tblGrid>
      <w:tr>
        <w:trPr>
          <w:tblHeader w:val="true"/>
        </w:trPr>
        <w:tc>
          <w:tcPr>
            <w:tcW w:w="3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b/>
                <w:bCs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TIPOS DE LICENÇA</w:t>
            </w:r>
          </w:p>
        </w:tc>
        <w:tc>
          <w:tcPr>
            <w:tcW w:w="4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lang w:val="pt-BR" w:eastAsia="zh-CN" w:bidi="hi-IN"/>
              </w:rPr>
            </w:pPr>
            <w:r>
              <w:rPr>
                <w:rFonts w:eastAsia="NSimSun" w:cs="Cambria" w:ascii="Calibri" w:hAnsi="Calibri" w:cstheme="minorHAnsi"/>
                <w:b/>
                <w:bCs/>
                <w:color w:val="000000" w:themeColor="text1"/>
                <w:kern w:val="2"/>
                <w:sz w:val="20"/>
                <w:szCs w:val="20"/>
                <w:lang w:val="pt-BR" w:eastAsia="zh-CN" w:bidi="hi-IN"/>
              </w:rPr>
              <w:t>Validade da Licença</w:t>
            </w:r>
          </w:p>
        </w:tc>
        <w:tc>
          <w:tcPr>
            <w:tcW w:w="2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b/>
                <w:bCs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GRAU DE POLUIÇÃO</w:t>
            </w:r>
          </w:p>
        </w:tc>
      </w:tr>
      <w:tr>
        <w:trPr/>
        <w:tc>
          <w:tcPr>
            <w:tcW w:w="3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LP - LICENÇA PRÉVIA</w:t>
            </w:r>
          </w:p>
        </w:tc>
        <w:tc>
          <w:tcPr>
            <w:tcW w:w="4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 w:cs="Arial"/>
                <w:kern w:val="0"/>
                <w:lang w:val="pt-BR" w:eastAsia="zh-CN" w:bidi="hi-IN"/>
              </w:rPr>
            </w:pPr>
            <w:r>
              <w:rPr>
                <w:rFonts w:eastAsia="Arial" w:cs="Arial" w:ascii="Calibri" w:hAnsi="Calibri"/>
                <w:kern w:val="0"/>
                <w:sz w:val="20"/>
                <w:szCs w:val="20"/>
                <w:lang w:val="pt-BR" w:eastAsia="zh-CN" w:bidi="hi-IN"/>
              </w:rPr>
              <w:t>2 (dois) anos</w:t>
            </w:r>
          </w:p>
        </w:tc>
        <w:tc>
          <w:tcPr>
            <w:tcW w:w="207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B - BAIXO</w:t>
            </w:r>
          </w:p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M - MÉDIO</w:t>
            </w:r>
          </w:p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A - ALTO</w:t>
            </w:r>
          </w:p>
        </w:tc>
      </w:tr>
      <w:tr>
        <w:trPr/>
        <w:tc>
          <w:tcPr>
            <w:tcW w:w="3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LI - LICENÇA DE INSTALAÇÃO</w:t>
            </w:r>
          </w:p>
        </w:tc>
        <w:tc>
          <w:tcPr>
            <w:tcW w:w="4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 w:cs="Arial"/>
                <w:kern w:val="0"/>
                <w:lang w:val="pt-BR" w:eastAsia="zh-CN" w:bidi="hi-IN"/>
              </w:rPr>
            </w:pPr>
            <w:r>
              <w:rPr>
                <w:rFonts w:eastAsia="Arial" w:cs="Arial" w:ascii="Calibri" w:hAnsi="Calibri"/>
                <w:kern w:val="0"/>
                <w:sz w:val="20"/>
                <w:szCs w:val="20"/>
                <w:lang w:val="pt-BR" w:eastAsia="zh-CN" w:bidi="hi-IN"/>
              </w:rPr>
              <w:t>2 (dois) anos</w:t>
            </w:r>
          </w:p>
        </w:tc>
        <w:tc>
          <w:tcPr>
            <w:tcW w:w="207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Arial" w:cs="Cambria" w:cstheme="minorHAns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pPr>
            <w:r>
              <w:rPr>
                <w:rFonts w:eastAsia="Arial" w:cs="Cambria" w:cstheme="minorHAnsi" w:ascii="Calibri" w:hAnsi="Calibr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r>
          </w:p>
        </w:tc>
      </w:tr>
      <w:tr>
        <w:trPr/>
        <w:tc>
          <w:tcPr>
            <w:tcW w:w="3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LO - LICENÇA DE OPERAÇÃO</w:t>
            </w:r>
          </w:p>
        </w:tc>
        <w:tc>
          <w:tcPr>
            <w:tcW w:w="41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 w:cs="Arial"/>
                <w:kern w:val="0"/>
                <w:lang w:val="pt-BR" w:eastAsia="zh-CN" w:bidi="hi-IN"/>
              </w:rPr>
            </w:pPr>
            <w:r>
              <w:rPr>
                <w:rFonts w:eastAsia="Arial" w:cs="Arial" w:ascii="Calibri" w:hAnsi="Calibri"/>
                <w:kern w:val="0"/>
                <w:sz w:val="20"/>
                <w:szCs w:val="20"/>
                <w:lang w:val="pt-BR" w:eastAsia="zh-CN" w:bidi="hi-IN"/>
              </w:rPr>
              <w:t>- 5 (cinco) anos para potencial poluidor baixo; e</w:t>
            </w:r>
          </w:p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 w:cs="Arial"/>
                <w:kern w:val="0"/>
                <w:lang w:val="pt-BR" w:eastAsia="zh-CN" w:bidi="hi-IN"/>
              </w:rPr>
            </w:pPr>
            <w:r>
              <w:rPr>
                <w:rFonts w:eastAsia="Arial" w:cs="Arial" w:ascii="Calibri" w:hAnsi="Calibri"/>
                <w:kern w:val="0"/>
                <w:sz w:val="20"/>
                <w:szCs w:val="20"/>
                <w:lang w:val="pt-BR" w:eastAsia="zh-CN" w:bidi="hi-IN"/>
              </w:rPr>
              <w:t>- 4 (quatro) anos para potencial poluidor médio e alto</w:t>
            </w:r>
          </w:p>
        </w:tc>
        <w:tc>
          <w:tcPr>
            <w:tcW w:w="207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Arial" w:cs="Cambria" w:cstheme="minorHAns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pPr>
            <w:r>
              <w:rPr>
                <w:rFonts w:eastAsia="Arial" w:cs="Cambria" w:cstheme="minorHAnsi" w:ascii="Calibri" w:hAnsi="Calibr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r>
          </w:p>
        </w:tc>
      </w:tr>
      <w:tr>
        <w:trPr/>
        <w:tc>
          <w:tcPr>
            <w:tcW w:w="3285" w:type="dxa"/>
            <w:tcBorders>
              <w:left w:val="single" w:sz="2" w:space="0" w:color="000000"/>
              <w:bottom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LU- LICENÇA ÚNICA</w:t>
            </w:r>
          </w:p>
        </w:tc>
        <w:tc>
          <w:tcPr>
            <w:tcW w:w="414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Arial" w:cs="Arial"/>
                <w:kern w:val="0"/>
                <w:sz w:val="20"/>
                <w:szCs w:val="22"/>
                <w:lang w:val="pt-BR" w:eastAsia="zh-CN" w:bidi="hi-IN"/>
              </w:rPr>
            </w:pPr>
            <w:r>
              <w:rPr>
                <w:rFonts w:eastAsia="Arial" w:cs="Arial" w:ascii="Calibri" w:hAnsi="Calibri"/>
                <w:kern w:val="0"/>
                <w:sz w:val="20"/>
                <w:szCs w:val="22"/>
                <w:lang w:val="pt-BR" w:eastAsia="zh-CN" w:bidi="hi-IN"/>
              </w:rPr>
            </w:r>
          </w:p>
        </w:tc>
        <w:tc>
          <w:tcPr>
            <w:tcW w:w="207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Arial" w:cs="Cambria" w:cstheme="minorHAns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pPr>
            <w:r>
              <w:rPr>
                <w:rFonts w:eastAsia="Arial" w:cs="Cambria" w:cstheme="minorHAnsi" w:ascii="Calibri" w:hAnsi="Calibr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r>
          </w:p>
        </w:tc>
      </w:tr>
      <w:tr>
        <w:trPr/>
        <w:tc>
          <w:tcPr>
            <w:tcW w:w="3285" w:type="dxa"/>
            <w:tcBorders>
              <w:left w:val="single" w:sz="2" w:space="0" w:color="000000"/>
              <w:bottom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LOR - LICENÇA DE REGULARIZAÇÃO</w:t>
            </w:r>
          </w:p>
        </w:tc>
        <w:tc>
          <w:tcPr>
            <w:tcW w:w="414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Arial" w:cs="Arial"/>
                <w:kern w:val="0"/>
                <w:sz w:val="20"/>
                <w:szCs w:val="22"/>
                <w:lang w:val="pt-BR" w:eastAsia="zh-CN" w:bidi="hi-IN"/>
              </w:rPr>
            </w:pPr>
            <w:r>
              <w:rPr>
                <w:rFonts w:eastAsia="Arial" w:cs="Arial" w:ascii="Calibri" w:hAnsi="Calibri"/>
                <w:kern w:val="0"/>
                <w:sz w:val="20"/>
                <w:szCs w:val="22"/>
                <w:lang w:val="pt-BR" w:eastAsia="zh-CN" w:bidi="hi-IN"/>
              </w:rPr>
            </w:r>
          </w:p>
        </w:tc>
        <w:tc>
          <w:tcPr>
            <w:tcW w:w="207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Arial" w:cs="Cambria" w:cstheme="minorHAns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pPr>
            <w:r>
              <w:rPr>
                <w:rFonts w:eastAsia="Arial" w:cs="Cambria" w:cstheme="minorHAnsi" w:ascii="Calibri" w:hAnsi="Calibr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r>
          </w:p>
        </w:tc>
      </w:tr>
      <w:tr>
        <w:trPr/>
        <w:tc>
          <w:tcPr>
            <w:tcW w:w="3285" w:type="dxa"/>
            <w:tcBorders>
              <w:left w:val="single" w:sz="2" w:space="0" w:color="000000"/>
              <w:bottom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eastAsia="Arial"/>
                <w:kern w:val="0"/>
                <w:lang w:val="pt-BR" w:eastAsia="zh-CN" w:bidi="hi-IN"/>
              </w:rPr>
            </w:pPr>
            <w:r>
              <w:rPr>
                <w:rFonts w:eastAsia="Arial" w:cs="Cambria" w:ascii="Calibri" w:hAnsi="Calibri" w:cstheme="minorHAnsi"/>
                <w:color w:val="000000" w:themeColor="text1"/>
                <w:kern w:val="0"/>
                <w:sz w:val="20"/>
                <w:szCs w:val="20"/>
                <w:lang w:val="pt-BR" w:eastAsia="zh-CN" w:bidi="hi-IN"/>
              </w:rPr>
              <w:t>LAC – LICENÇA POR COMPROMISSO</w:t>
            </w:r>
          </w:p>
        </w:tc>
        <w:tc>
          <w:tcPr>
            <w:tcW w:w="414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center"/>
              <w:rPr>
                <w:rFonts w:eastAsia="Arial" w:cs="Arial"/>
                <w:kern w:val="0"/>
                <w:lang w:val="pt-BR" w:eastAsia="zh-CN" w:bidi="hi-IN"/>
              </w:rPr>
            </w:pPr>
            <w:r>
              <w:rPr>
                <w:rFonts w:eastAsia="Arial" w:cs="Arial" w:ascii="Calibri" w:hAnsi="Calibri"/>
                <w:kern w:val="0"/>
                <w:sz w:val="20"/>
                <w:szCs w:val="20"/>
                <w:lang w:val="pt-BR" w:eastAsia="zh-CN" w:bidi="hi-IN"/>
              </w:rPr>
              <w:t>5 (cinco) anos</w:t>
            </w:r>
          </w:p>
        </w:tc>
        <w:tc>
          <w:tcPr>
            <w:tcW w:w="207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Arial" w:cs="Cambria" w:cstheme="minorHAns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pPr>
            <w:r>
              <w:rPr>
                <w:rFonts w:eastAsia="Arial" w:cs="Cambria" w:cstheme="minorHAnsi" w:ascii="Calibri" w:hAnsi="Calibri"/>
                <w:color w:val="000000" w:themeColor="text1"/>
                <w:kern w:val="0"/>
                <w:sz w:val="20"/>
                <w:szCs w:val="22"/>
                <w:lang w:val="pt-BR" w:eastAsia="zh-CN" w:bidi="hi-IN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lang w:val="pt-BR" w:eastAsia="zh-CN" w:bidi="hi-IN"/>
        </w:rPr>
      </w:pPr>
      <w:r>
        <w:rPr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/>
        <w:jc w:val="center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b/>
          <w:bCs/>
          <w:sz w:val="21"/>
          <w:szCs w:val="21"/>
          <w:lang w:val="pt-BR" w:eastAsia="zh-CN" w:bidi="hi-IN"/>
        </w:rPr>
        <w:t xml:space="preserve">JUSTIFICATIVA </w:t>
      </w:r>
    </w:p>
    <w:p>
      <w:pPr>
        <w:pStyle w:val="Normal"/>
        <w:spacing w:lineRule="auto" w:line="276"/>
        <w:jc w:val="center"/>
        <w:rPr>
          <w:rFonts w:ascii="Noto Serif Light" w:hAnsi="Noto Serif Light"/>
          <w:b/>
          <w:b/>
          <w:bCs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b/>
          <w:bCs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b/>
          <w:bCs/>
          <w:sz w:val="21"/>
          <w:szCs w:val="21"/>
          <w:lang w:val="pt-BR" w:eastAsia="zh-CN" w:bidi="hi-IN"/>
        </w:rPr>
        <w:tab/>
        <w:tab/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1"/>
          <w:szCs w:val="21"/>
          <w:lang w:val="pt-BR" w:eastAsia="zh-CN" w:bidi="hi-IN"/>
        </w:rPr>
        <w:t xml:space="preserve">Encaminhamos o presente Projeto de Lei nº 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1"/>
          <w:szCs w:val="21"/>
          <w:lang w:val="pt-BR" w:eastAsia="zh-CN" w:bidi="hi-IN"/>
        </w:rPr>
        <w:t>99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1"/>
          <w:szCs w:val="21"/>
          <w:lang w:val="pt-BR" w:eastAsia="zh-CN" w:bidi="hi-IN"/>
        </w:rPr>
        <w:t>/2023 que</w:t>
      </w:r>
      <w:r>
        <w:rPr>
          <w:rFonts w:eastAsia="Noto Serif Light" w:cs="Noto Serif Light" w:ascii="Noto Serif Light" w:hAnsi="Noto Serif Light"/>
          <w:b/>
          <w:bCs/>
          <w:color w:val="000000"/>
          <w:sz w:val="21"/>
          <w:szCs w:val="21"/>
          <w:lang w:val="pt-BR" w:eastAsia="zh-CN" w:bidi="hi-IN"/>
        </w:rPr>
        <w:t xml:space="preserve"> “</w:t>
      </w:r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 xml:space="preserve">ACRESCENTA §§1º E 2º AO ARTIGO </w:t>
      </w:r>
      <w:r>
        <w:rPr>
          <w:rFonts w:eastAsia="Arial Narrow" w:cs="Calibri" w:ascii="Noto Serif Light" w:hAnsi="Noto Serif Light" w:cstheme="majorHAnsi"/>
          <w:b/>
          <w:bCs/>
          <w:color w:val="000000"/>
          <w:sz w:val="21"/>
          <w:szCs w:val="21"/>
          <w:shd w:fill="auto" w:val="clear"/>
          <w:lang w:val="pt-BR" w:eastAsia="zh-CN" w:bidi="hi-IN"/>
        </w:rPr>
        <w:t>14, INCISOS IV, V, VI E §§ 1º A 7º AO ARTIGO 16, ALTERA A REDAÇÃO DO § 3º DO ART. 73, ALTERA A REDAÇÃO DO INCISO XVII DO ARTIGO 74, ALTERA A REDAÇÃO DO TÍTULO VI, A REDAÇÃO DO CAPUT e § 2º, DO ARTIGO 78 E ACRESCENTA A ESSE ARTIGO OS §§3º A 7º, ALTERA A REDAÇÃO DO CAPUT DO ARTIGO  79  E ACRESCENTA §§1º E 7º E ACRESCENTA ANEXO II, TODOS DA</w:t>
      </w:r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 xml:space="preserve"> LEI MUNICIPAL Nº </w:t>
      </w:r>
      <w:hyperlink r:id="rId4">
        <w:r>
          <w:rPr>
            <w:rFonts w:eastAsia="Arial Narrow" w:cs="Calibri" w:ascii="Noto Serif Light" w:hAnsi="Noto Serif Light" w:cstheme="majorHAnsi"/>
            <w:b/>
            <w:bCs/>
            <w:color w:val="auto"/>
            <w:sz w:val="21"/>
            <w:szCs w:val="21"/>
            <w:lang w:val="pt-BR" w:eastAsia="zh-CN" w:bidi="hi-IN"/>
          </w:rPr>
          <w:t>1.671</w:t>
        </w:r>
      </w:hyperlink>
      <w:r>
        <w:rPr>
          <w:rFonts w:eastAsia="Arial Narrow" w:cs="Calibri" w:ascii="Noto Serif Light" w:hAnsi="Noto Serif Light" w:cstheme="majorHAnsi"/>
          <w:b/>
          <w:bCs/>
          <w:color w:val="auto"/>
          <w:sz w:val="21"/>
          <w:szCs w:val="21"/>
          <w:lang w:val="pt-BR" w:eastAsia="zh-CN" w:bidi="hi-IN"/>
        </w:rPr>
        <w:t>/1999, DE 31 DE AGOSTO DE 1999, QUE DISPÕE SOBRE O CÓDIGO DO MEIO AMBIENTE DE DOIS IRMÃOS E DÁ OUTRAS PROVIDÊNCIAS"</w:t>
      </w:r>
      <w:r>
        <w:rPr>
          <w:rFonts w:eastAsia="Noto Serif Light" w:cs="Noto Serif Light" w:ascii="Noto Serif Light" w:hAnsi="Noto Serif Light"/>
          <w:b/>
          <w:bCs/>
          <w:color w:val="000000"/>
          <w:sz w:val="21"/>
          <w:szCs w:val="21"/>
          <w:lang w:val="pt-BR" w:eastAsia="zh-CN" w:bidi="hi-IN"/>
        </w:rPr>
        <w:t xml:space="preserve"> </w:t>
      </w:r>
      <w:r>
        <w:rPr>
          <w:rFonts w:eastAsia="Noto Serif Light" w:cs="Noto Serif Light" w:ascii="Noto Serif Light" w:hAnsi="Noto Serif Light"/>
          <w:b w:val="false"/>
          <w:bCs w:val="false"/>
          <w:color w:val="000000"/>
          <w:sz w:val="21"/>
          <w:szCs w:val="21"/>
          <w:lang w:val="pt-BR" w:eastAsia="zh-CN" w:bidi="hi-IN"/>
        </w:rPr>
        <w:t>para apreciação e deliberação dos senhores Edis.</w:t>
      </w:r>
    </w:p>
    <w:p>
      <w:pPr>
        <w:pStyle w:val="Normal"/>
        <w:spacing w:lineRule="auto" w:line="276"/>
        <w:jc w:val="center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A presente proposição atende solicitação do Departamento Municipal de Meio Ambiente que após estudo e análise entendeu necessárias as alterações à Lei Municipal N°. 1.671/99, na forma aqui propostas.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As alterações propostas aos artigos 14 e 16 se justificam na medida que ocorrem alterações na legislação estadual, a saber, Lei Estadual Nº. 15.434/2020, alterou o Código Estadual do Meio Ambiente/RS, criando novas modalidades de licenças ambientais, quais sejam: Licença Única (LU), Licença Ambiental de Operação de Regularização (LOR) e Licença Ambiental por Compromisso (LAC), para as quais há regulamentações específicas no referido Código Estadual e em outras normativas estaduais. Neste sentido cabe aos órgãos ambientais municipais, enquanto órgãos participantes do Sistema Nacional do Meio Ambiente – SISNAMA e, licenciadores de atividades de impacto local, assim delegados pela Resolução do Conselho Estadual de Meio Ambiente – CONSEMA Nº. 372/2018 e atualizações, regularizar-se para licenciar e fiscalizar estas novas modalidades de licenciamento ambiental.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Com estas novas licenças que o Município tem que emitir e fiscalizar, se faz necessário regulamentar a legislação municipal, quanto a quantidade de renovações, períodos, aumentar os  prazos de validades das licenças e a cobrança das respectivas taxas de análise de licenciamento ambiental.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 xml:space="preserve">Por sua vez, é proposto aumentar os prazos de validade das modalidades das licenças emitidas atualmente (Licença Prévia – LP, Licença de Instalação – LI e Licença de Operação – LO) e definir prazos de vigência para as novas modalidades de licenças (LU, LOR e LAC). 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A proposta neste projeto de lei das novas validades é a seguinte:</w:t>
      </w:r>
    </w:p>
    <w:tbl>
      <w:tblPr>
        <w:tblW w:w="5000" w:type="pct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2790"/>
        <w:gridCol w:w="2453"/>
        <w:gridCol w:w="2966"/>
        <w:gridCol w:w="1485"/>
      </w:tblGrid>
      <w:tr>
        <w:trPr/>
        <w:tc>
          <w:tcPr>
            <w:tcW w:w="2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b/>
                <w:b/>
                <w:bCs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b/>
                <w:bCs/>
                <w:sz w:val="21"/>
                <w:szCs w:val="21"/>
                <w:lang w:val="pt-BR" w:eastAsia="zh-CN" w:bidi="hi-IN"/>
              </w:rPr>
              <w:t>Modalidade de licença</w:t>
            </w:r>
          </w:p>
        </w:tc>
        <w:tc>
          <w:tcPr>
            <w:tcW w:w="24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b/>
                <w:b/>
                <w:bCs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b/>
                <w:bCs/>
                <w:sz w:val="21"/>
                <w:szCs w:val="21"/>
                <w:lang w:val="pt-BR" w:eastAsia="zh-CN" w:bidi="hi-IN"/>
              </w:rPr>
              <w:t>Atual</w:t>
            </w:r>
          </w:p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b/>
                <w:b/>
                <w:bCs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b/>
                <w:bCs/>
                <w:sz w:val="21"/>
                <w:szCs w:val="21"/>
                <w:lang w:val="pt-BR" w:eastAsia="zh-CN" w:bidi="hi-IN"/>
              </w:rPr>
              <w:t>(anos)</w:t>
            </w:r>
          </w:p>
        </w:tc>
        <w:tc>
          <w:tcPr>
            <w:tcW w:w="29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b/>
                <w:b/>
                <w:bCs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b/>
                <w:bCs/>
                <w:sz w:val="21"/>
                <w:szCs w:val="21"/>
                <w:lang w:val="pt-BR" w:eastAsia="zh-CN" w:bidi="hi-IN"/>
              </w:rPr>
              <w:t>Nova proposta</w:t>
            </w:r>
          </w:p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b/>
                <w:b/>
                <w:bCs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b/>
                <w:bCs/>
                <w:sz w:val="21"/>
                <w:szCs w:val="21"/>
                <w:lang w:val="pt-BR" w:eastAsia="zh-CN" w:bidi="hi-IN"/>
              </w:rPr>
              <w:t>(anos)</w:t>
            </w:r>
          </w:p>
        </w:tc>
        <w:tc>
          <w:tcPr>
            <w:tcW w:w="1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b/>
                <w:b/>
                <w:bCs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b/>
                <w:bCs/>
                <w:sz w:val="21"/>
                <w:szCs w:val="21"/>
                <w:lang w:val="pt-BR" w:eastAsia="zh-CN" w:bidi="hi-IN"/>
              </w:rPr>
              <w:t>Observações</w:t>
            </w:r>
          </w:p>
        </w:tc>
      </w:tr>
      <w:tr>
        <w:trPr/>
        <w:tc>
          <w:tcPr>
            <w:tcW w:w="279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Licença Prévia (LP)</w:t>
            </w:r>
          </w:p>
        </w:tc>
        <w:tc>
          <w:tcPr>
            <w:tcW w:w="245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1</w:t>
            </w:r>
          </w:p>
        </w:tc>
        <w:tc>
          <w:tcPr>
            <w:tcW w:w="2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2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r>
          </w:p>
        </w:tc>
      </w:tr>
      <w:tr>
        <w:trPr/>
        <w:tc>
          <w:tcPr>
            <w:tcW w:w="279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Licença de Instalação (LI)</w:t>
            </w:r>
          </w:p>
        </w:tc>
        <w:tc>
          <w:tcPr>
            <w:tcW w:w="245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2</w:t>
            </w:r>
          </w:p>
        </w:tc>
        <w:tc>
          <w:tcPr>
            <w:tcW w:w="2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2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r>
          </w:p>
        </w:tc>
      </w:tr>
      <w:tr>
        <w:trPr/>
        <w:tc>
          <w:tcPr>
            <w:tcW w:w="279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Licença de Operação (LO)</w:t>
            </w:r>
          </w:p>
        </w:tc>
        <w:tc>
          <w:tcPr>
            <w:tcW w:w="245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2 anos para potencial poluidor médio e alto e 3 anos para baixo</w:t>
            </w:r>
          </w:p>
        </w:tc>
        <w:tc>
          <w:tcPr>
            <w:tcW w:w="2966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r>
          </w:p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4 anos potencial poluidor médio e alto e 5 anos para potencial poluidor baixo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r>
          </w:p>
        </w:tc>
      </w:tr>
      <w:tr>
        <w:trPr/>
        <w:tc>
          <w:tcPr>
            <w:tcW w:w="279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Licença Única (LU)</w:t>
            </w:r>
          </w:p>
        </w:tc>
        <w:tc>
          <w:tcPr>
            <w:tcW w:w="245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--</w:t>
            </w:r>
          </w:p>
        </w:tc>
        <w:tc>
          <w:tcPr>
            <w:tcW w:w="2966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Nova licença</w:t>
            </w:r>
          </w:p>
        </w:tc>
      </w:tr>
      <w:tr>
        <w:trPr/>
        <w:tc>
          <w:tcPr>
            <w:tcW w:w="279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Licença de Operação de Regularização (LOR)</w:t>
            </w:r>
          </w:p>
        </w:tc>
        <w:tc>
          <w:tcPr>
            <w:tcW w:w="245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--</w:t>
            </w:r>
          </w:p>
        </w:tc>
        <w:tc>
          <w:tcPr>
            <w:tcW w:w="2966" w:type="dxa"/>
            <w:vMerge w:val="continue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Nova licença</w:t>
            </w:r>
          </w:p>
        </w:tc>
      </w:tr>
      <w:tr>
        <w:trPr/>
        <w:tc>
          <w:tcPr>
            <w:tcW w:w="279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Licença por Compromisso (LAC)</w:t>
            </w:r>
          </w:p>
        </w:tc>
        <w:tc>
          <w:tcPr>
            <w:tcW w:w="245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--</w:t>
            </w:r>
          </w:p>
        </w:tc>
        <w:tc>
          <w:tcPr>
            <w:tcW w:w="296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jc w:val="center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5</w:t>
            </w:r>
          </w:p>
        </w:tc>
        <w:tc>
          <w:tcPr>
            <w:tcW w:w="14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jc w:val="both"/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</w:pPr>
            <w:r>
              <w:rPr>
                <w:rFonts w:ascii="Noto Serif Light" w:hAnsi="Noto Serif Light"/>
                <w:sz w:val="21"/>
                <w:szCs w:val="21"/>
                <w:lang w:val="pt-BR" w:eastAsia="zh-CN" w:bidi="hi-IN"/>
              </w:rPr>
              <w:t>Nova licença</w:t>
            </w:r>
          </w:p>
        </w:tc>
      </w:tr>
    </w:tbl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Ao aumentar os prazos das licenças, concomitantemente está sendo aumentado o valor das taxas de análise de licenciamento ambiental, proporcionalmente aos anos de validade das licenças, sem majoração do valor final.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Por outro lado, está sendo criada a possibilidade de o empreendedor solicitar o parcelamento do valor da referida taxa em um prazo de até 24 (vinte e quatro) meses (24 parcelas), sem cobranças de juros e correção monetária.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Ademais, está sendo incluída a possibilidade de redução do valor no pagamento a vista.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 xml:space="preserve"> 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Outra vantagem acarretada pela dilação dos prazos de vigência das licenças ambientais é a economia para o empreendedor, uma vez que a frequência  para o encaminhamento das renovações de licença ambiental e os respectivos estudos necessários, aumentará de dois ou três para quatro ou cinco anos.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Além disso, com as novas validades e modalidades das licenças ambientais, o empreendedor terá benefícios como desburocratização, no caso da modalidade LAC e LOR e celeridade, pois o volume de processo a ser analisados pelo Departamento Municipal de Meio Ambiente se diluirá.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>Por outro lado, o Departamento solicita alterações com relação ao Fundo Municipal de Defesa do Meio Ambiente (FUNDEMA) , porquanto, não se pretende a criação de CNPJ, o que obrigatório na manutenção do Fundo.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  <w:t xml:space="preserve">Em reunião extraordinária do dia 24/08/2023 do CONSEMA, com participação do Departamento Municipal de Meio Ambiente, Secretário de Planejamento e Sustentabilidade e Contador da Secretaria da Fazenda, abordou-se o assunto e levou-se a votação se manteriam o Fundema como Fundo e realizar a regularização dele (conforme a legislação federal dos Fundos) ou alterar o nome e mantê-lo como um Programa vinculado e administrado pelo Departamento de Meio Ambiente, a maioria dos votos foi pela segunda opção e ficou registrado na Ata n° </w:t>
      </w:r>
      <w:r>
        <w:rPr>
          <w:rFonts w:ascii="Noto Serif Light" w:hAnsi="Noto Serif Light"/>
          <w:sz w:val="21"/>
          <w:szCs w:val="21"/>
          <w:shd w:fill="auto" w:val="clear"/>
          <w:lang w:val="pt-BR" w:eastAsia="zh-CN" w:bidi="hi-IN"/>
        </w:rPr>
        <w:t>162.</w:t>
      </w:r>
    </w:p>
    <w:p>
      <w:pPr>
        <w:pStyle w:val="Normal"/>
        <w:spacing w:lineRule="auto" w:line="276"/>
        <w:jc w:val="both"/>
        <w:rPr>
          <w:shd w:fill="auto" w:val="clear"/>
          <w:lang w:val="pt-BR" w:eastAsia="zh-CN" w:bidi="hi-IN"/>
        </w:rPr>
      </w:pPr>
      <w:r>
        <w:rPr>
          <w:shd w:fill="auto" w:val="clear"/>
          <w:lang w:val="pt-BR" w:eastAsia="zh-CN" w:bidi="hi-IN"/>
        </w:rPr>
      </w:r>
    </w:p>
    <w:p>
      <w:pPr>
        <w:pStyle w:val="Normal"/>
        <w:widowControl w:val="false"/>
        <w:spacing w:lineRule="auto" w:line="276"/>
        <w:ind w:left="0" w:right="0" w:hanging="0"/>
        <w:jc w:val="right"/>
        <w:rPr>
          <w:rFonts w:ascii="Noto Serif Light" w:hAnsi="Noto Serif Light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Noto Serif Light" w:hAnsi="Noto Serif Light"/>
          <w:b/>
          <w:bCs/>
          <w:color w:val="000000"/>
          <w:sz w:val="21"/>
          <w:szCs w:val="21"/>
        </w:rPr>
        <w:t xml:space="preserve">JERRI ADRIANI MENEGHETTI, </w:t>
      </w:r>
    </w:p>
    <w:p>
      <w:pPr>
        <w:pStyle w:val="Normal"/>
        <w:widowControl w:val="false"/>
        <w:spacing w:lineRule="auto" w:line="276"/>
        <w:ind w:left="0" w:right="0" w:firstLine="1701"/>
        <w:jc w:val="right"/>
        <w:rPr>
          <w:rFonts w:ascii="Noto Serif Light" w:hAnsi="Noto Serif Light" w:eastAsia="Noto Serif Light" w:cs="Noto Serif Light"/>
          <w:b/>
          <w:b/>
          <w:bCs/>
          <w:i w:val="false"/>
          <w:i w:val="false"/>
          <w:iCs w:val="false"/>
          <w:color w:val="000000"/>
          <w:sz w:val="21"/>
          <w:szCs w:val="21"/>
          <w:shd w:fill="auto" w:val="clear"/>
        </w:rPr>
      </w:pPr>
      <w:r>
        <w:rPr>
          <w:rFonts w:eastAsia="Noto Serif Light" w:cs="Noto Serif Light" w:ascii="Noto Serif Light" w:hAnsi="Noto Serif Light"/>
          <w:b/>
          <w:bCs/>
          <w:i w:val="false"/>
          <w:iCs w:val="false"/>
          <w:color w:val="000000"/>
          <w:sz w:val="21"/>
          <w:szCs w:val="21"/>
          <w:shd w:fill="auto" w:val="clear"/>
          <w:lang w:val="pt-BR" w:eastAsia="zh-CN" w:bidi="hi-IN"/>
        </w:rPr>
        <w:t>PREFEITO MUNICIPAL.</w:t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  <w:tab/>
        <w:tab/>
      </w:r>
    </w:p>
    <w:p>
      <w:pPr>
        <w:pStyle w:val="Normal"/>
        <w:spacing w:lineRule="auto" w:line="276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76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  <w:lang w:val="pt-BR" w:eastAsia="zh-CN" w:bidi="hi-IN"/>
        </w:rPr>
      </w:pPr>
      <w:r>
        <w:rPr>
          <w:rFonts w:ascii="Noto Serif Light" w:hAnsi="Noto Serif Light"/>
          <w:sz w:val="21"/>
          <w:szCs w:val="21"/>
          <w:lang w:val="pt-BR" w:eastAsia="zh-CN" w:bidi="hi-IN"/>
        </w:rPr>
      </w:r>
    </w:p>
    <w:p>
      <w:pPr>
        <w:pStyle w:val="Normal"/>
        <w:spacing w:lineRule="auto" w:line="240" w:before="0" w:after="0"/>
        <w:jc w:val="both"/>
        <w:rPr>
          <w:rFonts w:ascii="Noto Serif Light" w:hAnsi="Noto Serif Light"/>
          <w:sz w:val="21"/>
          <w:szCs w:val="21"/>
        </w:rPr>
      </w:pPr>
      <w:r>
        <w:rPr/>
      </w:r>
    </w:p>
    <w:sectPr>
      <w:type w:val="nextPage"/>
      <w:pgSz w:w="11906" w:h="16838"/>
      <w:pgMar w:left="1186" w:right="1025" w:header="0" w:top="2551" w:footer="0" w:bottom="1361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0"/>
        </w:tabs>
        <w:ind w:left="216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9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LOnormal"/>
    <w:next w:val="LOnormal"/>
    <w:qFormat/>
    <w:pPr>
      <w:keepNext w:val="true"/>
      <w:keepLines/>
      <w:spacing w:lineRule="auto" w:line="240" w:before="400" w:after="120"/>
      <w:outlineLvl w:val="0"/>
    </w:pPr>
    <w:rPr>
      <w:sz w:val="40"/>
      <w:szCs w:val="40"/>
    </w:rPr>
  </w:style>
  <w:style w:type="paragraph" w:styleId="Ttulo2">
    <w:name w:val="Heading 2"/>
    <w:basedOn w:val="LOnormal"/>
    <w:next w:val="LOnormal"/>
    <w:qFormat/>
    <w:pPr>
      <w:keepNext w:val="true"/>
      <w:keepLines/>
      <w:spacing w:lineRule="auto" w:line="240" w:before="360" w:after="120"/>
      <w:outlineLvl w:val="1"/>
    </w:pPr>
    <w:rPr>
      <w:sz w:val="32"/>
      <w:szCs w:val="32"/>
    </w:rPr>
  </w:style>
  <w:style w:type="paragraph" w:styleId="Ttulo3">
    <w:name w:val="Heading 3"/>
    <w:basedOn w:val="LOnormal"/>
    <w:next w:val="LOnormal"/>
    <w:qFormat/>
    <w:pPr>
      <w:keepNext w:val="true"/>
      <w:keepLines/>
      <w:spacing w:lineRule="auto" w:line="240"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spacing w:lineRule="auto" w:line="240"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LOnormal"/>
    <w:next w:val="LOnormal"/>
    <w:qFormat/>
    <w:pPr>
      <w:keepNext w:val="true"/>
      <w:keepLines/>
      <w:spacing w:lineRule="auto" w:line="240" w:before="240" w:after="80"/>
      <w:outlineLvl w:val="4"/>
    </w:pPr>
    <w:rPr>
      <w:color w:val="666666"/>
    </w:rPr>
  </w:style>
  <w:style w:type="paragraph" w:styleId="Ttulo6">
    <w:name w:val="Heading 6"/>
    <w:basedOn w:val="LOnormal"/>
    <w:next w:val="LOnormal"/>
    <w:qFormat/>
    <w:pPr>
      <w:keepNext w:val="true"/>
      <w:keepLines/>
      <w:spacing w:lineRule="auto" w:line="240"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 w:customStyle="1">
    <w:name w:val="Link da Internet"/>
    <w:rPr>
      <w:color w:val="000080"/>
      <w:u w:val="single"/>
    </w:rPr>
  </w:style>
  <w:style w:type="character" w:styleId="Marcas">
    <w:name w:val="Marca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"/>
    <w:next w:val="Corpodotexto"/>
    <w:qFormat/>
    <w:pPr>
      <w:keepNext w:val="true"/>
      <w:keepLines/>
      <w:spacing w:lineRule="auto" w:line="240" w:before="240" w:after="60"/>
    </w:pPr>
    <w:rPr>
      <w:sz w:val="52"/>
      <w:szCs w:val="5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LOnormal" w:customStyle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Subttulo">
    <w:name w:val="Subtitle"/>
    <w:basedOn w:val="LOnormal"/>
    <w:next w:val="LOnormal"/>
    <w:qFormat/>
    <w:pPr>
      <w:keepNext w:val="true"/>
      <w:keepLines/>
      <w:spacing w:lineRule="auto" w:line="240" w:before="0" w:after="320"/>
    </w:pPr>
    <w:rPr>
      <w:color w:val="666666"/>
      <w:sz w:val="30"/>
      <w:szCs w:val="30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59049c"/>
    <w:pPr>
      <w:spacing w:before="0" w:after="0"/>
      <w:ind w:left="720" w:hanging="0"/>
      <w:contextualSpacing/>
    </w:pPr>
    <w:rPr>
      <w:rFonts w:cs="Mangal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eismunicipais.com.br/a1/rs/d/dois-irmaos/lei-ordinaria/1999/167/1671/lei-ordinaria-n-1671-1999-dispoe-sobre-o-codigo-do-meio-ambiente-de-dois-irmaos-e-da-outras-providencias" TargetMode="External"/><Relationship Id="rId3" Type="http://schemas.openxmlformats.org/officeDocument/2006/relationships/image" Target="media/image1.png"/><Relationship Id="rId4" Type="http://schemas.openxmlformats.org/officeDocument/2006/relationships/hyperlink" Target="https://leismunicipais.com.br/a1/rs/d/dois-irmaos/lei-ordinaria/1999/167/1671/lei-ordinaria-n-1671-1999-dispoe-sobre-o-codigo-do-meio-ambiente-de-dois-irmaos-e-da-outras-providencias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94592-9354-45D4-B4FD-E05AA73A2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Application>LibreOffice/7.0.4.2$Windows_X86_64 LibreOffice_project/dcf040e67528d9187c66b2379df5ea4407429775</Application>
  <AppVersion>15.0000</AppVersion>
  <Pages>10</Pages>
  <Words>2420</Words>
  <Characters>12771</Characters>
  <CharactersWithSpaces>15123</CharactersWithSpaces>
  <Paragraphs>133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2023-08-27T15:25:00Z</dcterms:created>
  <dc:creator/>
  <dc:description/>
  <dc:language>pt-BR</dc:language>
  <cp:lastModifiedBy/>
  <cp:lastPrinted>2023-09-21T12:28:46Z</cp:lastPrinted>
  <dcterms:modified xsi:type="dcterms:W3CDTF">2023-09-21T12:30:08Z</dcterms:modified>
  <cp:revision>228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