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B7274C2" w14:textId="3C69D344" w:rsidR="001E6EFA" w:rsidRPr="003A0545" w:rsidRDefault="00C22851" w:rsidP="001E6EFA">
      <w:pPr>
        <w:pStyle w:val="Ttulo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val="pt-BR"/>
        </w:rPr>
        <w:t xml:space="preserve">                                                           </w:t>
      </w:r>
      <w:r w:rsidR="001E6EFA" w:rsidRPr="003A0545">
        <w:rPr>
          <w:rStyle w:val="Forte"/>
          <w:rFonts w:ascii="Times New Roman" w:hAnsi="Times New Roman"/>
          <w:b/>
          <w:bCs w:val="0"/>
          <w:sz w:val="24"/>
          <w:szCs w:val="24"/>
        </w:rPr>
        <w:t>PROJETO DE LEI Nº ____/2025</w:t>
      </w:r>
    </w:p>
    <w:p w14:paraId="10F604DB" w14:textId="77777777" w:rsidR="001E6EFA" w:rsidRPr="003A0545" w:rsidRDefault="001E6EFA" w:rsidP="001E6EFA">
      <w:pPr>
        <w:pStyle w:val="NormalWeb"/>
        <w:ind w:left="3544"/>
        <w:jc w:val="both"/>
      </w:pPr>
      <w:r w:rsidRPr="003A0545">
        <w:rPr>
          <w:rStyle w:val="Forte"/>
        </w:rPr>
        <w:t>Institui no Município de Ananindeua a campanha permanente do “Semáforo do Toque”, com o objetivo de conscientização, prevenção, orientação e combate ao abuso e à exploração sexual de crianças e adolescentes.</w:t>
      </w:r>
    </w:p>
    <w:p w14:paraId="4924F8E2" w14:textId="77777777" w:rsidR="001E6EFA" w:rsidRPr="003A0545" w:rsidRDefault="001E6EFA" w:rsidP="001E6EFA">
      <w:pPr>
        <w:pStyle w:val="NormalWeb"/>
        <w:jc w:val="both"/>
      </w:pPr>
      <w:r w:rsidRPr="003A0545">
        <w:t>A CÂMARA MUNICIPAL DE ANANINDEUA aprova e o PREFEITO MUNICIPAL sanciona a seguinte LEI:</w:t>
      </w:r>
    </w:p>
    <w:p w14:paraId="4E47805F" w14:textId="05803D99" w:rsidR="001E6EFA" w:rsidRPr="001E6EFA" w:rsidRDefault="001E6EFA" w:rsidP="001E6EFA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3A0545">
        <w:rPr>
          <w:rStyle w:val="Forte"/>
          <w:rFonts w:ascii="Times New Roman" w:hAnsi="Times New Roman"/>
          <w:b/>
          <w:bCs w:val="0"/>
          <w:sz w:val="24"/>
          <w:szCs w:val="24"/>
        </w:rPr>
        <w:t>Art. 1º</w:t>
      </w:r>
      <w:r w:rsidRPr="003A0545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3A0545">
        <w:rPr>
          <w:rFonts w:ascii="Times New Roman" w:hAnsi="Times New Roman"/>
          <w:sz w:val="24"/>
          <w:szCs w:val="24"/>
        </w:rPr>
        <w:t>Fica instituída, no Município</w:t>
      </w:r>
      <w:r w:rsidRPr="001E6EFA">
        <w:rPr>
          <w:rFonts w:ascii="Times New Roman" w:hAnsi="Times New Roman"/>
          <w:sz w:val="24"/>
          <w:szCs w:val="24"/>
        </w:rPr>
        <w:t xml:space="preserve"> de Ananindeua, a </w:t>
      </w:r>
      <w:r w:rsidRPr="001E6EFA">
        <w:rPr>
          <w:rStyle w:val="Forte"/>
          <w:rFonts w:ascii="Times New Roman" w:hAnsi="Times New Roman"/>
          <w:sz w:val="24"/>
          <w:szCs w:val="24"/>
        </w:rPr>
        <w:t>Campanha Permanente do “Semáforo do Toque”</w:t>
      </w:r>
      <w:r w:rsidRPr="001E6EFA">
        <w:rPr>
          <w:rFonts w:ascii="Times New Roman" w:hAnsi="Times New Roman"/>
          <w:sz w:val="24"/>
          <w:szCs w:val="24"/>
        </w:rPr>
        <w:t>, dedicada ao enfrentamento à violência sexual contra crianças e adolescentes.</w:t>
      </w:r>
    </w:p>
    <w:p w14:paraId="724A29D0" w14:textId="2BA6A49C" w:rsidR="001E6EFA" w:rsidRPr="001E6EFA" w:rsidRDefault="001E6EFA" w:rsidP="001E6EFA">
      <w:pPr>
        <w:pStyle w:val="Ttulo3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2º</w:t>
      </w: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1E6EFA">
        <w:rPr>
          <w:rFonts w:ascii="Times New Roman" w:hAnsi="Times New Roman"/>
          <w:sz w:val="24"/>
          <w:szCs w:val="24"/>
        </w:rPr>
        <w:t>A campanha tem como objetivos:</w:t>
      </w:r>
    </w:p>
    <w:p w14:paraId="2233084D" w14:textId="77777777" w:rsidR="001E6EFA" w:rsidRPr="001E6EFA" w:rsidRDefault="001E6EFA" w:rsidP="001E6EFA">
      <w:pPr>
        <w:pStyle w:val="NormalWeb"/>
      </w:pPr>
      <w:r w:rsidRPr="001E6EFA">
        <w:t xml:space="preserve">I – Promover ações de </w:t>
      </w:r>
      <w:r w:rsidRPr="001E6EFA">
        <w:rPr>
          <w:rStyle w:val="Forte"/>
        </w:rPr>
        <w:t>conscientização, orientação e prevenção</w:t>
      </w:r>
      <w:r w:rsidRPr="001E6EFA">
        <w:t xml:space="preserve"> sobre o abuso e a exploração sexual de crianças e adolescentes;</w:t>
      </w:r>
      <w:r w:rsidRPr="001E6EFA">
        <w:br/>
        <w:t xml:space="preserve">II – Disseminar informações de forma </w:t>
      </w:r>
      <w:r w:rsidRPr="001E6EFA">
        <w:rPr>
          <w:rStyle w:val="Forte"/>
        </w:rPr>
        <w:t>lúdica, didática e acessível</w:t>
      </w:r>
      <w:r w:rsidRPr="001E6EFA">
        <w:t xml:space="preserve"> para crianças, pais, responsáveis, educadores e sociedade em geral;</w:t>
      </w:r>
      <w:r w:rsidRPr="001E6EFA">
        <w:br/>
        <w:t xml:space="preserve">III – Estimular o </w:t>
      </w:r>
      <w:r w:rsidRPr="001E6EFA">
        <w:rPr>
          <w:rStyle w:val="Forte"/>
        </w:rPr>
        <w:t>diálogo aberto e seguro</w:t>
      </w:r>
      <w:r w:rsidRPr="001E6EFA">
        <w:t xml:space="preserve"> sobre o corpo, os limites do toque e os direitos da criança e do adolescente;</w:t>
      </w:r>
      <w:r w:rsidRPr="001E6EFA">
        <w:br/>
        <w:t xml:space="preserve">IV – Facilitar o </w:t>
      </w:r>
      <w:r w:rsidRPr="001E6EFA">
        <w:rPr>
          <w:rStyle w:val="Forte"/>
        </w:rPr>
        <w:t>reconhecimento de sinais de abuso sexual</w:t>
      </w:r>
      <w:r w:rsidRPr="001E6EFA">
        <w:t xml:space="preserve"> e fomentar as denúncias por meio dos canais oficiais.</w:t>
      </w:r>
    </w:p>
    <w:p w14:paraId="4FAF1C4C" w14:textId="4C122F40" w:rsidR="001E6EFA" w:rsidRPr="001E6EFA" w:rsidRDefault="001E6EFA" w:rsidP="001E6EFA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3º</w:t>
      </w: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1E6EFA">
        <w:rPr>
          <w:rFonts w:ascii="Times New Roman" w:hAnsi="Times New Roman"/>
          <w:sz w:val="24"/>
          <w:szCs w:val="24"/>
        </w:rPr>
        <w:t xml:space="preserve">A Campanha Permanente do “Semáforo do Toque” utilizará como recurso principal </w:t>
      </w:r>
      <w:r w:rsidRPr="001E6EFA">
        <w:rPr>
          <w:rStyle w:val="Forte"/>
          <w:rFonts w:ascii="Times New Roman" w:hAnsi="Times New Roman"/>
          <w:sz w:val="24"/>
          <w:szCs w:val="24"/>
        </w:rPr>
        <w:t>cartazes, folders e materiais gráficos</w:t>
      </w:r>
      <w:r w:rsidRPr="001E6EFA">
        <w:rPr>
          <w:rFonts w:ascii="Times New Roman" w:hAnsi="Times New Roman"/>
          <w:sz w:val="24"/>
          <w:szCs w:val="24"/>
        </w:rPr>
        <w:t xml:space="preserve"> contendo imagens ilustrativas de um menino e de uma menina, vistos de frente e de costas, </w:t>
      </w:r>
      <w:r w:rsidRPr="001E6EFA">
        <w:rPr>
          <w:rStyle w:val="Forte"/>
          <w:rFonts w:ascii="Times New Roman" w:hAnsi="Times New Roman"/>
          <w:sz w:val="24"/>
          <w:szCs w:val="24"/>
        </w:rPr>
        <w:t>com marcações por cores semelhantes às de um semáforo</w:t>
      </w:r>
      <w:r w:rsidRPr="001E6EFA">
        <w:rPr>
          <w:rFonts w:ascii="Times New Roman" w:hAnsi="Times New Roman"/>
          <w:sz w:val="24"/>
          <w:szCs w:val="24"/>
        </w:rPr>
        <w:t xml:space="preserve">, conforme descrito no </w:t>
      </w:r>
      <w:r w:rsidRPr="001E6EFA">
        <w:rPr>
          <w:rStyle w:val="Forte"/>
          <w:rFonts w:ascii="Times New Roman" w:hAnsi="Times New Roman"/>
          <w:sz w:val="24"/>
          <w:szCs w:val="24"/>
        </w:rPr>
        <w:t>Anexo I</w:t>
      </w:r>
      <w:r w:rsidRPr="001E6EFA">
        <w:rPr>
          <w:rFonts w:ascii="Times New Roman" w:hAnsi="Times New Roman"/>
          <w:sz w:val="24"/>
          <w:szCs w:val="24"/>
        </w:rPr>
        <w:t xml:space="preserve"> desta Lei, para indicar:</w:t>
      </w:r>
    </w:p>
    <w:p w14:paraId="0BDD6A6D" w14:textId="77777777" w:rsidR="001E6EFA" w:rsidRPr="001E6EFA" w:rsidRDefault="001E6EFA" w:rsidP="001E6EFA">
      <w:pPr>
        <w:pStyle w:val="NormalWeb"/>
        <w:numPr>
          <w:ilvl w:val="0"/>
          <w:numId w:val="3"/>
        </w:numPr>
        <w:jc w:val="both"/>
      </w:pPr>
      <w:r w:rsidRPr="001E6EFA">
        <w:rPr>
          <w:rStyle w:val="Forte"/>
        </w:rPr>
        <w:t>Vermelho (NÃO PODE TOCAR):</w:t>
      </w:r>
      <w:r w:rsidRPr="001E6EFA">
        <w:t xml:space="preserve"> partes íntimas e regiões sensíveis do corpo;</w:t>
      </w:r>
    </w:p>
    <w:p w14:paraId="484890C5" w14:textId="77777777" w:rsidR="001E6EFA" w:rsidRPr="001E6EFA" w:rsidRDefault="001E6EFA" w:rsidP="001E6EFA">
      <w:pPr>
        <w:pStyle w:val="NormalWeb"/>
        <w:numPr>
          <w:ilvl w:val="0"/>
          <w:numId w:val="3"/>
        </w:numPr>
        <w:jc w:val="both"/>
      </w:pPr>
      <w:r w:rsidRPr="001E6EFA">
        <w:rPr>
          <w:rStyle w:val="Forte"/>
        </w:rPr>
        <w:t>Amarelo (SÓ PODE COM PERMISSÃO):</w:t>
      </w:r>
      <w:r w:rsidRPr="001E6EFA">
        <w:t xml:space="preserve"> partes do corpo que exigem cuidado e atenção, como rosto, ombros e joelhos;</w:t>
      </w:r>
    </w:p>
    <w:p w14:paraId="22E69FBF" w14:textId="77777777" w:rsidR="001E6EFA" w:rsidRPr="001E6EFA" w:rsidRDefault="001E6EFA" w:rsidP="001E6EFA">
      <w:pPr>
        <w:pStyle w:val="NormalWeb"/>
        <w:numPr>
          <w:ilvl w:val="0"/>
          <w:numId w:val="3"/>
        </w:numPr>
        <w:jc w:val="both"/>
      </w:pPr>
      <w:r w:rsidRPr="001E6EFA">
        <w:rPr>
          <w:rStyle w:val="Forte"/>
        </w:rPr>
        <w:t>Verde (PODE TOCAR):</w:t>
      </w:r>
      <w:r w:rsidRPr="001E6EFA">
        <w:t xml:space="preserve"> partes não íntimas, como mãos, braços e costas, em contextos de afeto, cuidado e respeito.</w:t>
      </w:r>
    </w:p>
    <w:p w14:paraId="048B357C" w14:textId="4DF2CB6F" w:rsidR="001E6EFA" w:rsidRDefault="001E6EFA" w:rsidP="001E6EFA">
      <w:pPr>
        <w:jc w:val="both"/>
      </w:pPr>
    </w:p>
    <w:p w14:paraId="1A885051" w14:textId="77777777" w:rsidR="0025136D" w:rsidRDefault="0025136D" w:rsidP="001E6EFA">
      <w:pPr>
        <w:pStyle w:val="Ttulo3"/>
        <w:jc w:val="both"/>
        <w:rPr>
          <w:rStyle w:val="Forte"/>
          <w:rFonts w:ascii="Times New Roman" w:hAnsi="Times New Roman"/>
          <w:b/>
          <w:bCs w:val="0"/>
          <w:sz w:val="24"/>
          <w:szCs w:val="24"/>
        </w:rPr>
      </w:pPr>
    </w:p>
    <w:p w14:paraId="7F226E40" w14:textId="161E113F" w:rsidR="001E6EFA" w:rsidRPr="001E6EFA" w:rsidRDefault="001E6EFA" w:rsidP="001E6EFA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Parágrafo único</w:t>
      </w: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. </w:t>
      </w:r>
      <w:r w:rsidRPr="001E6EFA">
        <w:rPr>
          <w:rFonts w:ascii="Times New Roman" w:hAnsi="Times New Roman"/>
          <w:b w:val="0"/>
          <w:bCs/>
          <w:color w:val="000000" w:themeColor="text1"/>
          <w:sz w:val="24"/>
          <w:szCs w:val="24"/>
        </w:rPr>
        <w:t>O cartaz e demais materiais da campanha deverão conter, obrigatoriamente, a seguinte mensagem em local de destaque:</w:t>
      </w:r>
    </w:p>
    <w:p w14:paraId="66EC868F" w14:textId="77777777" w:rsidR="001E6EFA" w:rsidRPr="001E6EFA" w:rsidRDefault="001E6EFA" w:rsidP="001E6EFA">
      <w:pPr>
        <w:pStyle w:val="NormalWeb"/>
      </w:pPr>
      <w:r w:rsidRPr="001E6EFA">
        <w:rPr>
          <w:rStyle w:val="Forte"/>
        </w:rPr>
        <w:t>“PEDOFILIA É CRIME! DENUNCIE! NÃO SE CALE!</w:t>
      </w:r>
      <w:r w:rsidRPr="001E6EFA">
        <w:br/>
        <w:t>– Contra criança e adolescente, disque 100.</w:t>
      </w:r>
      <w:r w:rsidRPr="001E6EFA">
        <w:br/>
        <w:t>– Em caso de emergência, disque 190.”</w:t>
      </w:r>
    </w:p>
    <w:p w14:paraId="6CC43619" w14:textId="4C774D6C" w:rsidR="001E6EFA" w:rsidRPr="001E6EFA" w:rsidRDefault="001E6EFA" w:rsidP="0025136D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4º</w:t>
      </w:r>
      <w:r w:rsidR="0025136D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25136D">
        <w:rPr>
          <w:rFonts w:ascii="Times New Roman" w:hAnsi="Times New Roman"/>
          <w:b w:val="0"/>
          <w:bCs/>
          <w:sz w:val="24"/>
          <w:szCs w:val="24"/>
        </w:rPr>
        <w:t>Fica o Poder Executivo autorizado a realizar a campanha por meio das secretarias municipais, especialmente Educação, Saúde e Assistência Social, em parceria com:</w:t>
      </w:r>
    </w:p>
    <w:p w14:paraId="3E5C60BB" w14:textId="77777777" w:rsidR="001E6EFA" w:rsidRPr="001E6EFA" w:rsidRDefault="001E6EFA" w:rsidP="001E6EFA">
      <w:pPr>
        <w:pStyle w:val="NormalWeb"/>
      </w:pPr>
      <w:r w:rsidRPr="001E6EFA">
        <w:t>I – Escolas públicas e privadas;</w:t>
      </w:r>
      <w:r w:rsidRPr="001E6EFA">
        <w:br/>
        <w:t>II – Unidades de saúde e de acolhimento;</w:t>
      </w:r>
      <w:r w:rsidRPr="001E6EFA">
        <w:br/>
        <w:t>III – Conselhos tutelares;</w:t>
      </w:r>
      <w:r w:rsidRPr="001E6EFA">
        <w:br/>
        <w:t>IV – Organizações da sociedade civil, entidades religiosas e associações comunitárias.</w:t>
      </w:r>
    </w:p>
    <w:p w14:paraId="0C03E93F" w14:textId="177FEF7C" w:rsidR="001E6EFA" w:rsidRPr="001E6EFA" w:rsidRDefault="001E6EFA" w:rsidP="0025136D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5º</w:t>
      </w:r>
      <w:r w:rsidR="0025136D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1E6EFA">
        <w:rPr>
          <w:rFonts w:ascii="Times New Roman" w:hAnsi="Times New Roman"/>
          <w:sz w:val="24"/>
          <w:szCs w:val="24"/>
        </w:rPr>
        <w:t xml:space="preserve">O Poder Executivo poderá ainda celebrar </w:t>
      </w:r>
      <w:r w:rsidRPr="001E6EFA">
        <w:rPr>
          <w:rStyle w:val="Forte"/>
          <w:rFonts w:ascii="Times New Roman" w:hAnsi="Times New Roman"/>
          <w:sz w:val="24"/>
          <w:szCs w:val="24"/>
        </w:rPr>
        <w:t>convênios, parcerias ou cooperações</w:t>
      </w:r>
      <w:r w:rsidRPr="001E6EFA">
        <w:rPr>
          <w:rFonts w:ascii="Times New Roman" w:hAnsi="Times New Roman"/>
          <w:sz w:val="24"/>
          <w:szCs w:val="24"/>
        </w:rPr>
        <w:t xml:space="preserve"> com empresas, instituições privadas, associações e órgãos estatais, com o objetivo de apoiar, financiar ou difundir a campanha de forma ampla e contínua.</w:t>
      </w:r>
    </w:p>
    <w:p w14:paraId="57B13E63" w14:textId="319C274C" w:rsidR="001E6EFA" w:rsidRPr="001E6EFA" w:rsidRDefault="001E6EFA" w:rsidP="0025136D">
      <w:pPr>
        <w:pStyle w:val="Ttulo3"/>
        <w:jc w:val="both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6º</w:t>
      </w:r>
      <w:r w:rsidR="0025136D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25136D">
        <w:rPr>
          <w:rFonts w:ascii="Times New Roman" w:hAnsi="Times New Roman"/>
          <w:b w:val="0"/>
          <w:bCs/>
          <w:sz w:val="24"/>
          <w:szCs w:val="24"/>
        </w:rPr>
        <w:t>As despesas decorrentes da execução desta Lei correrão por conta de</w:t>
      </w:r>
      <w:r w:rsidR="0025136D">
        <w:rPr>
          <w:rFonts w:ascii="Times New Roman" w:hAnsi="Times New Roman"/>
          <w:b w:val="0"/>
          <w:bCs/>
          <w:sz w:val="24"/>
          <w:szCs w:val="24"/>
        </w:rPr>
        <w:t xml:space="preserve"> dotação orçamentária própria</w:t>
      </w:r>
      <w:r w:rsidRPr="0025136D">
        <w:rPr>
          <w:rFonts w:ascii="Times New Roman" w:hAnsi="Times New Roman"/>
          <w:b w:val="0"/>
          <w:bCs/>
          <w:sz w:val="24"/>
          <w:szCs w:val="24"/>
        </w:rPr>
        <w:t>, sem prejuízo do orçamento vigente.</w:t>
      </w:r>
    </w:p>
    <w:p w14:paraId="3C59DCFD" w14:textId="61CD1C09" w:rsidR="001E6EFA" w:rsidRPr="001E6EFA" w:rsidRDefault="001E6EFA" w:rsidP="0025136D">
      <w:pPr>
        <w:pStyle w:val="Ttulo3"/>
        <w:rPr>
          <w:rFonts w:ascii="Times New Roman" w:hAnsi="Times New Roman"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7º</w:t>
      </w:r>
      <w:r w:rsidR="0025136D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25136D">
        <w:rPr>
          <w:rFonts w:ascii="Times New Roman" w:hAnsi="Times New Roman"/>
          <w:b w:val="0"/>
          <w:bCs/>
          <w:sz w:val="24"/>
          <w:szCs w:val="24"/>
        </w:rPr>
        <w:t>O Poder Executivo regulamentará esta Lei no que couber, no prazo de até</w:t>
      </w:r>
      <w:r w:rsidRPr="0025136D">
        <w:rPr>
          <w:rFonts w:ascii="Times New Roman" w:hAnsi="Times New Roman"/>
          <w:sz w:val="24"/>
          <w:szCs w:val="24"/>
        </w:rPr>
        <w:t xml:space="preserve"> </w:t>
      </w:r>
      <w:r w:rsidRPr="0025136D">
        <w:rPr>
          <w:rStyle w:val="Forte"/>
          <w:rFonts w:ascii="Times New Roman" w:hAnsi="Times New Roman"/>
          <w:sz w:val="24"/>
          <w:szCs w:val="24"/>
        </w:rPr>
        <w:t>90 (noventa) dias</w:t>
      </w:r>
      <w:r w:rsidRPr="0025136D">
        <w:rPr>
          <w:rFonts w:ascii="Times New Roman" w:hAnsi="Times New Roman"/>
          <w:b w:val="0"/>
          <w:bCs/>
          <w:sz w:val="24"/>
          <w:szCs w:val="24"/>
        </w:rPr>
        <w:t xml:space="preserve"> a partir da data de sua publicação.</w:t>
      </w:r>
    </w:p>
    <w:p w14:paraId="7640DE71" w14:textId="6446D15F" w:rsidR="001E6EFA" w:rsidRDefault="001E6EFA" w:rsidP="0025136D">
      <w:pPr>
        <w:pStyle w:val="Ttulo3"/>
        <w:rPr>
          <w:rFonts w:ascii="Times New Roman" w:hAnsi="Times New Roman"/>
          <w:b w:val="0"/>
          <w:bCs/>
          <w:sz w:val="24"/>
          <w:szCs w:val="24"/>
        </w:rPr>
      </w:pPr>
      <w:r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Art. 8º</w:t>
      </w:r>
      <w:r w:rsidR="0025136D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25136D">
        <w:rPr>
          <w:rFonts w:ascii="Times New Roman" w:hAnsi="Times New Roman"/>
          <w:b w:val="0"/>
          <w:bCs/>
          <w:sz w:val="24"/>
          <w:szCs w:val="24"/>
        </w:rPr>
        <w:t>Esta Lei entra em vigor na data de sua publicação.</w:t>
      </w:r>
    </w:p>
    <w:p w14:paraId="0BDB1C15" w14:textId="6FD0FAB0" w:rsidR="0025136D" w:rsidRDefault="0025136D" w:rsidP="0025136D"/>
    <w:p w14:paraId="679FFF58" w14:textId="77777777" w:rsidR="0025136D" w:rsidRPr="001E6EFA" w:rsidRDefault="0025136D" w:rsidP="0025136D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1E6EFA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1E6EFA">
        <w:rPr>
          <w:rFonts w:ascii="Times New Roman" w:eastAsia="Times New Roman" w:hAnsi="Times New Roman"/>
          <w:sz w:val="24"/>
          <w:szCs w:val="24"/>
        </w:rPr>
        <w:t>ao vigésimo nono dia do mês de maio do ano de dois mil e vinte e cinco.</w:t>
      </w:r>
    </w:p>
    <w:p w14:paraId="0013C0D1" w14:textId="77777777" w:rsidR="0025136D" w:rsidRPr="001E6EFA" w:rsidRDefault="0025136D" w:rsidP="0025136D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0D8D058" w14:textId="77777777" w:rsidR="0025136D" w:rsidRPr="001E6EFA" w:rsidRDefault="0025136D" w:rsidP="0025136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8BD7F35" w14:textId="77777777" w:rsidR="0025136D" w:rsidRPr="001E6EFA" w:rsidRDefault="0025136D" w:rsidP="0025136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8C60770" w14:textId="77777777" w:rsidR="0025136D" w:rsidRPr="001E6EFA" w:rsidRDefault="0025136D" w:rsidP="0025136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0182CA0" w14:textId="77777777" w:rsidR="0025136D" w:rsidRPr="001E6EFA" w:rsidRDefault="0025136D" w:rsidP="0025136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1E6EFA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6A74E744" w14:textId="77777777" w:rsidR="0025136D" w:rsidRPr="001E6EFA" w:rsidRDefault="0025136D" w:rsidP="0025136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E6EFA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21D90056" w14:textId="77777777" w:rsidR="0025136D" w:rsidRPr="001E6EFA" w:rsidRDefault="0025136D" w:rsidP="0025136D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E6EFA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3F2E2075" w14:textId="6A07BE81" w:rsidR="0025136D" w:rsidRPr="0025136D" w:rsidRDefault="003A0545" w:rsidP="0025136D">
      <w:r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 xml:space="preserve">                                                     </w:t>
      </w:r>
      <w:r w:rsidR="0025136D" w:rsidRPr="001E6EFA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31A2994D" w14:textId="290004F5" w:rsidR="001E6EFA" w:rsidRPr="001E6EFA" w:rsidRDefault="001E6EFA" w:rsidP="001E6EFA">
      <w:pPr>
        <w:rPr>
          <w:rFonts w:ascii="Times New Roman" w:hAnsi="Times New Roman"/>
          <w:sz w:val="24"/>
          <w:szCs w:val="24"/>
        </w:rPr>
      </w:pPr>
    </w:p>
    <w:p w14:paraId="161EA1CB" w14:textId="77777777" w:rsidR="003A0545" w:rsidRDefault="003A0545" w:rsidP="001E6EFA">
      <w:pPr>
        <w:pStyle w:val="Ttulo3"/>
        <w:rPr>
          <w:rStyle w:val="Forte"/>
          <w:rFonts w:ascii="Times New Roman" w:hAnsi="Times New Roman"/>
          <w:b/>
          <w:bCs w:val="0"/>
          <w:sz w:val="24"/>
          <w:szCs w:val="24"/>
        </w:rPr>
      </w:pPr>
      <w:r>
        <w:rPr>
          <w:rStyle w:val="Forte"/>
          <w:rFonts w:ascii="Times New Roman" w:hAnsi="Times New Roman"/>
          <w:b/>
          <w:bCs w:val="0"/>
          <w:sz w:val="24"/>
          <w:szCs w:val="24"/>
        </w:rPr>
        <w:lastRenderedPageBreak/>
        <w:t xml:space="preserve">                                            </w:t>
      </w:r>
    </w:p>
    <w:p w14:paraId="11C3187A" w14:textId="118D906F" w:rsidR="003A0545" w:rsidRDefault="003A0545" w:rsidP="001E6EFA">
      <w:pPr>
        <w:pStyle w:val="Ttulo3"/>
        <w:rPr>
          <w:rStyle w:val="Forte"/>
          <w:rFonts w:ascii="Times New Roman" w:hAnsi="Times New Roman"/>
          <w:b/>
          <w:bCs w:val="0"/>
          <w:sz w:val="24"/>
          <w:szCs w:val="24"/>
          <w:u w:val="single"/>
        </w:rPr>
      </w:pP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                                                       </w:t>
      </w:r>
      <w:r w:rsidRPr="003A0545">
        <w:rPr>
          <w:rStyle w:val="Forte"/>
          <w:rFonts w:ascii="Times New Roman" w:hAnsi="Times New Roman"/>
          <w:b/>
          <w:bCs w:val="0"/>
          <w:sz w:val="24"/>
          <w:szCs w:val="24"/>
          <w:u w:val="single"/>
        </w:rPr>
        <w:t>JUSTIFICATIVA</w:t>
      </w:r>
    </w:p>
    <w:p w14:paraId="2DC2C82F" w14:textId="77777777" w:rsidR="003A0545" w:rsidRDefault="003A0545" w:rsidP="003A0545">
      <w:pPr>
        <w:pStyle w:val="NormalWeb"/>
      </w:pPr>
      <w:r>
        <w:t>Senhor Presidente,</w:t>
      </w:r>
      <w:r>
        <w:br/>
        <w:t>Senhoras e Senhores Vereadores,</w:t>
      </w:r>
    </w:p>
    <w:p w14:paraId="24866C06" w14:textId="77777777" w:rsidR="003A0545" w:rsidRDefault="003A0545" w:rsidP="00067DD6">
      <w:pPr>
        <w:pStyle w:val="NormalWeb"/>
        <w:ind w:firstLine="720"/>
        <w:jc w:val="both"/>
      </w:pPr>
      <w:r>
        <w:t xml:space="preserve">Submeto à apreciação de Vossas Excelências o presente Projeto de Lei, que </w:t>
      </w:r>
      <w:r>
        <w:rPr>
          <w:rStyle w:val="Forte"/>
        </w:rPr>
        <w:t>institui no Município de Ananindeua a Campanha Permanente do “Semáforo do Toque”</w:t>
      </w:r>
      <w:r>
        <w:t>, com o objetivo de conscientizar, prevenir e combater o abuso e a exploração sexual de crianças e adolescentes.</w:t>
      </w:r>
    </w:p>
    <w:p w14:paraId="53EAD774" w14:textId="77777777" w:rsidR="003A0545" w:rsidRDefault="003A0545" w:rsidP="00067DD6">
      <w:pPr>
        <w:pStyle w:val="NormalWeb"/>
        <w:ind w:firstLine="720"/>
        <w:jc w:val="both"/>
      </w:pPr>
      <w:r>
        <w:t xml:space="preserve">A proposta se insere em uma agenda de extrema urgência e relevância social: </w:t>
      </w:r>
      <w:r>
        <w:rPr>
          <w:rStyle w:val="Forte"/>
        </w:rPr>
        <w:t>a proteção da infância e adolescência contra qualquer forma de violência</w:t>
      </w:r>
      <w:r>
        <w:t>, em especial a violência sexual, que ainda atinge milhares de crianças em todo o Brasil de maneira silenciosa, contínua e devastadora.</w:t>
      </w:r>
    </w:p>
    <w:p w14:paraId="73585C99" w14:textId="77777777" w:rsidR="003A0545" w:rsidRDefault="003A0545" w:rsidP="00067DD6">
      <w:pPr>
        <w:pStyle w:val="NormalWeb"/>
        <w:ind w:firstLine="360"/>
        <w:jc w:val="both"/>
      </w:pPr>
      <w:r>
        <w:t xml:space="preserve">O “Semáforo do Toque” é uma ferramenta </w:t>
      </w:r>
      <w:r>
        <w:rPr>
          <w:rStyle w:val="Forte"/>
        </w:rPr>
        <w:t>pedagógica, lúdica e visual</w:t>
      </w:r>
      <w:r>
        <w:t xml:space="preserve">, utilizada com sucesso em escolas, instituições sociais e campanhas de proteção à criança, inclusive durante o </w:t>
      </w:r>
      <w:r>
        <w:rPr>
          <w:rStyle w:val="Forte"/>
        </w:rPr>
        <w:t>"</w:t>
      </w:r>
      <w:proofErr w:type="gramStart"/>
      <w:r>
        <w:rPr>
          <w:rStyle w:val="Forte"/>
        </w:rPr>
        <w:t>Maio</w:t>
      </w:r>
      <w:proofErr w:type="gramEnd"/>
      <w:r>
        <w:rPr>
          <w:rStyle w:val="Forte"/>
        </w:rPr>
        <w:t xml:space="preserve"> Laranja"</w:t>
      </w:r>
      <w:r>
        <w:t>, mês de enfrentamento ao abuso e à exploração sexual infantojuvenil, coordenado nacionalmente por diversos órgãos públicos e entidades da sociedade civil. Ele representa, de forma clara e acessível, os limites do toque no corpo de uma criança, dividindo-o em três cores:</w:t>
      </w:r>
    </w:p>
    <w:p w14:paraId="1FE54329" w14:textId="77777777" w:rsidR="003A0545" w:rsidRDefault="003A0545" w:rsidP="00067DD6">
      <w:pPr>
        <w:pStyle w:val="NormalWeb"/>
        <w:numPr>
          <w:ilvl w:val="0"/>
          <w:numId w:val="5"/>
        </w:numPr>
        <w:jc w:val="both"/>
      </w:pPr>
      <w:r>
        <w:rPr>
          <w:rStyle w:val="Forte"/>
        </w:rPr>
        <w:t>Vermelho (NÃO PODE TOCAR)</w:t>
      </w:r>
      <w:r>
        <w:t xml:space="preserve"> – partes íntimas e regiões sensíveis;</w:t>
      </w:r>
    </w:p>
    <w:p w14:paraId="394E2CD3" w14:textId="77777777" w:rsidR="003A0545" w:rsidRDefault="003A0545" w:rsidP="00067DD6">
      <w:pPr>
        <w:pStyle w:val="NormalWeb"/>
        <w:numPr>
          <w:ilvl w:val="0"/>
          <w:numId w:val="5"/>
        </w:numPr>
        <w:jc w:val="both"/>
      </w:pPr>
      <w:r>
        <w:rPr>
          <w:rStyle w:val="Forte"/>
        </w:rPr>
        <w:t>Amarelo (SÓ PODE COM PERMISSÃO)</w:t>
      </w:r>
      <w:r>
        <w:t xml:space="preserve"> – regiões que exigem atenção e cuidado;</w:t>
      </w:r>
    </w:p>
    <w:p w14:paraId="071A6596" w14:textId="77777777" w:rsidR="003A0545" w:rsidRDefault="003A0545" w:rsidP="00067DD6">
      <w:pPr>
        <w:pStyle w:val="NormalWeb"/>
        <w:numPr>
          <w:ilvl w:val="0"/>
          <w:numId w:val="5"/>
        </w:numPr>
        <w:jc w:val="both"/>
      </w:pPr>
      <w:r>
        <w:rPr>
          <w:rStyle w:val="Forte"/>
        </w:rPr>
        <w:t>Verde (PODE TOCAR)</w:t>
      </w:r>
      <w:r>
        <w:t xml:space="preserve"> – partes neutras do corpo, em contextos seguros.</w:t>
      </w:r>
    </w:p>
    <w:p w14:paraId="1AB7D12F" w14:textId="77777777" w:rsidR="003A0545" w:rsidRDefault="003A0545" w:rsidP="00067DD6">
      <w:pPr>
        <w:pStyle w:val="NormalWeb"/>
        <w:ind w:firstLine="360"/>
        <w:jc w:val="both"/>
      </w:pPr>
      <w:r>
        <w:t xml:space="preserve">Ao apresentar o “Semáforo do Toque” com ilustrações de um menino e de uma menina, frente e verso, o projeto possibilita que a criança compreenda desde cedo </w:t>
      </w:r>
      <w:r>
        <w:rPr>
          <w:rStyle w:val="Forte"/>
        </w:rPr>
        <w:t>seus direitos, seus limites e sua autonomia sobre o próprio corpo</w:t>
      </w:r>
      <w:r>
        <w:t>, ao mesmo tempo que orienta pais, responsáveis, educadores e agentes públicos sobre como agir diante de sinais de abuso.</w:t>
      </w:r>
    </w:p>
    <w:p w14:paraId="18E0B990" w14:textId="77777777" w:rsidR="003A0545" w:rsidRDefault="003A0545" w:rsidP="00067DD6">
      <w:pPr>
        <w:pStyle w:val="NormalWeb"/>
        <w:ind w:firstLine="360"/>
        <w:jc w:val="both"/>
      </w:pPr>
      <w:r>
        <w:t xml:space="preserve">Com base na experiência de outras cidades brasileiras que já adotaram a iniciativa, como Petrópolis/RJ, é possível afirmar que a institucionalização dessa campanha no âmbito municipal </w:t>
      </w:r>
      <w:r>
        <w:rPr>
          <w:rStyle w:val="Forte"/>
        </w:rPr>
        <w:t>fortalece a rede de proteção, previne crimes e salva vidas</w:t>
      </w:r>
      <w:r>
        <w:t>.</w:t>
      </w:r>
    </w:p>
    <w:p w14:paraId="003B99B7" w14:textId="43084C3E" w:rsidR="003A0545" w:rsidRDefault="003A0545" w:rsidP="00067DD6">
      <w:pPr>
        <w:pStyle w:val="NormalWeb"/>
        <w:ind w:firstLine="360"/>
        <w:jc w:val="both"/>
      </w:pPr>
      <w:r>
        <w:t>A aprovação deste projeto reforçará o compromisso de Ananindeua com a defesa dos direitos da criança e do adolescente, com base no Estatuto da Criança e do Adolescente (ECA), na Constituição Federal e em tratados internacionais dos quais o Brasil é signatário.</w:t>
      </w:r>
    </w:p>
    <w:p w14:paraId="7432103E" w14:textId="77777777" w:rsidR="00067DD6" w:rsidRDefault="00067DD6" w:rsidP="00067DD6">
      <w:pPr>
        <w:pStyle w:val="NormalWeb"/>
        <w:ind w:firstLine="360"/>
        <w:jc w:val="both"/>
      </w:pPr>
    </w:p>
    <w:p w14:paraId="61F1C82D" w14:textId="77777777" w:rsidR="00067DD6" w:rsidRDefault="00067DD6" w:rsidP="00067DD6">
      <w:pPr>
        <w:pStyle w:val="NormalWeb"/>
        <w:ind w:firstLine="360"/>
        <w:jc w:val="both"/>
      </w:pPr>
    </w:p>
    <w:p w14:paraId="0984B123" w14:textId="3FA617F4" w:rsidR="003A0545" w:rsidRDefault="003A0545" w:rsidP="00067DD6">
      <w:pPr>
        <w:pStyle w:val="NormalWeb"/>
        <w:ind w:firstLine="360"/>
        <w:jc w:val="both"/>
      </w:pPr>
      <w:r>
        <w:t>Diante da importância da matéria, solicito aos nobres colegas vereadores a aprovação deste projeto, na certeza de que ele contribuirá de forma efetiva para um futuro mais seguro e digno para nossas crianças e adolescentes.</w:t>
      </w:r>
    </w:p>
    <w:p w14:paraId="38846F74" w14:textId="77777777" w:rsidR="00067DD6" w:rsidRPr="001E6EFA" w:rsidRDefault="00067DD6" w:rsidP="00067DD6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1E6EFA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1E6EFA">
        <w:rPr>
          <w:rFonts w:ascii="Times New Roman" w:eastAsia="Times New Roman" w:hAnsi="Times New Roman"/>
          <w:sz w:val="24"/>
          <w:szCs w:val="24"/>
        </w:rPr>
        <w:t>ao vigésimo nono dia do mês de maio do ano de dois mil e vinte e cinco.</w:t>
      </w:r>
    </w:p>
    <w:p w14:paraId="4BB48850" w14:textId="77777777" w:rsidR="00067DD6" w:rsidRPr="001E6EFA" w:rsidRDefault="00067DD6" w:rsidP="00067DD6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7DE305D" w14:textId="77777777" w:rsidR="00067DD6" w:rsidRPr="001E6EFA" w:rsidRDefault="00067DD6" w:rsidP="00067DD6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1F24EAE" w14:textId="77777777" w:rsidR="00067DD6" w:rsidRPr="001E6EFA" w:rsidRDefault="00067DD6" w:rsidP="00067DD6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7C13C75" w14:textId="77777777" w:rsidR="00067DD6" w:rsidRPr="001E6EFA" w:rsidRDefault="00067DD6" w:rsidP="00067DD6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B3926C7" w14:textId="77777777" w:rsidR="00067DD6" w:rsidRPr="001E6EFA" w:rsidRDefault="00067DD6" w:rsidP="00067DD6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1E6EFA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4A9164B4" w14:textId="77777777" w:rsidR="00067DD6" w:rsidRPr="001E6EFA" w:rsidRDefault="00067DD6" w:rsidP="00067DD6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E6EFA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46D12103" w14:textId="77777777" w:rsidR="00067DD6" w:rsidRPr="001E6EFA" w:rsidRDefault="00067DD6" w:rsidP="00067DD6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E6EFA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5FEC3ED6" w14:textId="77777777" w:rsidR="00067DD6" w:rsidRPr="0025136D" w:rsidRDefault="00067DD6" w:rsidP="00067DD6">
      <w:r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 xml:space="preserve">                                                     </w:t>
      </w:r>
      <w:r w:rsidRPr="001E6EFA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70CE1F34" w14:textId="05339447" w:rsidR="003A0545" w:rsidRDefault="003A0545" w:rsidP="00067DD6">
      <w:pPr>
        <w:pStyle w:val="Ttulo3"/>
        <w:jc w:val="both"/>
        <w:rPr>
          <w:rStyle w:val="Forte"/>
          <w:rFonts w:ascii="Times New Roman" w:hAnsi="Times New Roman"/>
          <w:b/>
          <w:bCs w:val="0"/>
          <w:sz w:val="24"/>
          <w:szCs w:val="24"/>
        </w:rPr>
      </w:pPr>
    </w:p>
    <w:p w14:paraId="26CC16ED" w14:textId="7E983F3C" w:rsidR="00067DD6" w:rsidRDefault="00067DD6" w:rsidP="00067DD6"/>
    <w:p w14:paraId="31BEE964" w14:textId="02B17B7A" w:rsidR="00067DD6" w:rsidRDefault="00067DD6" w:rsidP="00067DD6"/>
    <w:p w14:paraId="6DDA9EA8" w14:textId="143088FB" w:rsidR="0040068A" w:rsidRDefault="0040068A" w:rsidP="00067DD6"/>
    <w:p w14:paraId="2503CFAA" w14:textId="1E42755E" w:rsidR="0040068A" w:rsidRDefault="0040068A" w:rsidP="00067DD6"/>
    <w:p w14:paraId="769D4AFF" w14:textId="0B530D27" w:rsidR="0040068A" w:rsidRDefault="0040068A" w:rsidP="00067DD6"/>
    <w:p w14:paraId="0C2C5608" w14:textId="1BED219D" w:rsidR="0040068A" w:rsidRDefault="0040068A" w:rsidP="00067DD6"/>
    <w:p w14:paraId="732F3A0E" w14:textId="75D329DD" w:rsidR="0040068A" w:rsidRDefault="0040068A" w:rsidP="00067DD6"/>
    <w:p w14:paraId="40F9EA03" w14:textId="4E935021" w:rsidR="0040068A" w:rsidRDefault="0040068A" w:rsidP="00067DD6"/>
    <w:p w14:paraId="0475D011" w14:textId="36BBD9FE" w:rsidR="0040068A" w:rsidRDefault="0040068A" w:rsidP="00067DD6"/>
    <w:p w14:paraId="5FA6B97E" w14:textId="1A26F6E9" w:rsidR="0040068A" w:rsidRDefault="0040068A" w:rsidP="00067DD6"/>
    <w:p w14:paraId="63DAFDD7" w14:textId="77777777" w:rsidR="0040068A" w:rsidRDefault="0040068A" w:rsidP="00067DD6"/>
    <w:p w14:paraId="6EA1697F" w14:textId="41592133" w:rsidR="00067DD6" w:rsidRDefault="00067DD6" w:rsidP="00067DD6"/>
    <w:p w14:paraId="1982D65C" w14:textId="77777777" w:rsidR="0040068A" w:rsidRDefault="00067DD6" w:rsidP="001E6EFA">
      <w:pPr>
        <w:pStyle w:val="Ttulo3"/>
        <w:rPr>
          <w:rStyle w:val="Forte"/>
          <w:rFonts w:ascii="Times New Roman" w:hAnsi="Times New Roman"/>
          <w:b/>
          <w:bCs w:val="0"/>
          <w:sz w:val="24"/>
          <w:szCs w:val="24"/>
        </w:rPr>
      </w:pPr>
      <w:r>
        <w:rPr>
          <w:rStyle w:val="Forte"/>
          <w:rFonts w:ascii="Times New Roman" w:hAnsi="Times New Roman"/>
          <w:b/>
          <w:bCs w:val="0"/>
          <w:sz w:val="24"/>
          <w:szCs w:val="24"/>
        </w:rPr>
        <w:lastRenderedPageBreak/>
        <w:t xml:space="preserve">        </w:t>
      </w:r>
    </w:p>
    <w:p w14:paraId="45DFE960" w14:textId="0E0BB046" w:rsidR="001E6EFA" w:rsidRPr="001E6EFA" w:rsidRDefault="0040068A" w:rsidP="001E6EFA">
      <w:pPr>
        <w:pStyle w:val="Ttulo3"/>
        <w:rPr>
          <w:rFonts w:ascii="Times New Roman" w:hAnsi="Times New Roman"/>
          <w:sz w:val="24"/>
          <w:szCs w:val="24"/>
        </w:rPr>
      </w:pPr>
      <w:r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      </w:t>
      </w:r>
      <w:r w:rsidR="001E6EFA" w:rsidRPr="001E6EFA">
        <w:rPr>
          <w:rStyle w:val="Forte"/>
          <w:rFonts w:ascii="Times New Roman" w:hAnsi="Times New Roman"/>
          <w:b/>
          <w:bCs w:val="0"/>
          <w:sz w:val="24"/>
          <w:szCs w:val="24"/>
        </w:rPr>
        <w:t>ANEXO I – ILUSTRAÇÃO DIDÁTICA DO “SEMÁFORO DO TOQUE”</w:t>
      </w:r>
    </w:p>
    <w:p w14:paraId="3A08EFE0" w14:textId="77777777" w:rsidR="001E6EFA" w:rsidRPr="001E6EFA" w:rsidRDefault="001E6EFA" w:rsidP="00067DD6">
      <w:pPr>
        <w:pStyle w:val="NormalWeb"/>
        <w:ind w:firstLine="360"/>
        <w:jc w:val="both"/>
      </w:pPr>
      <w:r w:rsidRPr="001E6EFA">
        <w:t xml:space="preserve">Será afixado, em locais visíveis de escolas, unidades de saúde e demais espaços públicos, </w:t>
      </w:r>
      <w:r w:rsidRPr="001E6EFA">
        <w:rPr>
          <w:rStyle w:val="Forte"/>
        </w:rPr>
        <w:t>cartaz com a imagem de uma criança do sexo masculino e uma do sexo feminino, vistas de frente e de costas</w:t>
      </w:r>
      <w:r w:rsidRPr="001E6EFA">
        <w:t>, contendo as seguintes sinalizações:</w:t>
      </w:r>
    </w:p>
    <w:p w14:paraId="03E742B7" w14:textId="77777777" w:rsidR="001E6EFA" w:rsidRPr="001E6EFA" w:rsidRDefault="001E6EFA" w:rsidP="001E6EFA">
      <w:pPr>
        <w:pStyle w:val="NormalWeb"/>
        <w:numPr>
          <w:ilvl w:val="0"/>
          <w:numId w:val="4"/>
        </w:numPr>
      </w:pPr>
      <w:r w:rsidRPr="001E6EFA">
        <w:rPr>
          <w:rStyle w:val="Forte"/>
        </w:rPr>
        <w:t>Cor Vermelha (NÃO PODE TOCAR):</w:t>
      </w:r>
      <w:r w:rsidRPr="001E6EFA">
        <w:br/>
        <w:t>Região genital, nádegas, seios, boca.</w:t>
      </w:r>
    </w:p>
    <w:p w14:paraId="59F70DE4" w14:textId="77777777" w:rsidR="001E6EFA" w:rsidRPr="001E6EFA" w:rsidRDefault="001E6EFA" w:rsidP="001E6EFA">
      <w:pPr>
        <w:pStyle w:val="NormalWeb"/>
        <w:numPr>
          <w:ilvl w:val="0"/>
          <w:numId w:val="4"/>
        </w:numPr>
      </w:pPr>
      <w:r w:rsidRPr="001E6EFA">
        <w:rPr>
          <w:rStyle w:val="Forte"/>
        </w:rPr>
        <w:t>Cor Amarela (SÓ PODE COM PERMISSÃO):</w:t>
      </w:r>
      <w:r w:rsidRPr="001E6EFA">
        <w:br/>
        <w:t>Rosto, pernas, barriga, costas.</w:t>
      </w:r>
    </w:p>
    <w:p w14:paraId="1B06A50E" w14:textId="77777777" w:rsidR="0040068A" w:rsidRPr="0040068A" w:rsidRDefault="001E6EFA" w:rsidP="0040068A">
      <w:pPr>
        <w:pStyle w:val="NormalWeb"/>
        <w:numPr>
          <w:ilvl w:val="0"/>
          <w:numId w:val="4"/>
        </w:numPr>
        <w:rPr>
          <w:color w:val="000000" w:themeColor="text1"/>
        </w:rPr>
      </w:pPr>
      <w:r w:rsidRPr="001E6EFA">
        <w:rPr>
          <w:rStyle w:val="Forte"/>
        </w:rPr>
        <w:t>Cor Verde (PODE TOCAR):</w:t>
      </w:r>
      <w:r w:rsidRPr="001E6EFA">
        <w:br/>
        <w:t>Mãos, ombros, braços – em situações de afeto, ajuda ou brincadeiras seguras e respeitosas.</w:t>
      </w:r>
    </w:p>
    <w:p w14:paraId="0802CC81" w14:textId="3C6F798C" w:rsidR="009E31CD" w:rsidRPr="001E6EFA" w:rsidRDefault="0040068A" w:rsidP="0040068A">
      <w:pPr>
        <w:pStyle w:val="NormalWeb"/>
        <w:jc w:val="both"/>
        <w:rPr>
          <w:color w:val="000000" w:themeColor="text1"/>
        </w:rPr>
      </w:pPr>
      <w:r w:rsidRPr="0040068A">
        <w:rPr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4232D64B" wp14:editId="2D8F4585">
            <wp:simplePos x="0" y="0"/>
            <wp:positionH relativeFrom="page">
              <wp:posOffset>453950</wp:posOffset>
            </wp:positionH>
            <wp:positionV relativeFrom="paragraph">
              <wp:posOffset>530431</wp:posOffset>
            </wp:positionV>
            <wp:extent cx="6633660" cy="4235264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3660" cy="42352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Forte"/>
        </w:rPr>
        <w:t xml:space="preserve">        </w:t>
      </w:r>
      <w:r w:rsidR="001E6EFA" w:rsidRPr="001E6EFA">
        <w:t xml:space="preserve">O material deverá utilizar linguagem acessível e ilustrações adequadas ao público infantil, podendo conter QR </w:t>
      </w:r>
      <w:proofErr w:type="spellStart"/>
      <w:r w:rsidR="001E6EFA" w:rsidRPr="001E6EFA">
        <w:t>Code</w:t>
      </w:r>
      <w:proofErr w:type="spellEnd"/>
      <w:r w:rsidR="001E6EFA" w:rsidRPr="001E6EFA">
        <w:t xml:space="preserve"> com link para vídeos educativos e informativos sobre o tema.</w:t>
      </w:r>
    </w:p>
    <w:p w14:paraId="38754E7A" w14:textId="3995A1DD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08B405B" w14:textId="44DE2FCD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94A0AA" w14:textId="14A56325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DAC6C56" w14:textId="464D5BC6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C0E2BED" w14:textId="2C46DB13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4C678A" w14:textId="2F897FFA" w:rsidR="00C22851" w:rsidRPr="001E6EFA" w:rsidRDefault="00C22851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55E9957" w14:textId="29A528ED" w:rsidR="00C22851" w:rsidRPr="001E6EFA" w:rsidRDefault="00C22851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7BD794E" w14:textId="2FEE3815" w:rsidR="00EB2B98" w:rsidRPr="001E6EFA" w:rsidRDefault="00EB2B98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4F60B2B" w14:textId="77777777" w:rsidR="00C22851" w:rsidRPr="001E6EFA" w:rsidRDefault="00C22851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0491D12" w14:textId="6225BD7D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9BEA016" w14:textId="7110345F" w:rsidR="00BA1909" w:rsidRPr="001E6EFA" w:rsidRDefault="00BA1909" w:rsidP="004C3507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5B60C30" w14:textId="6D5C10B9" w:rsidR="00BA1909" w:rsidRPr="001E6EFA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FB42864" w14:textId="6D7E7CA9" w:rsidR="00551FA5" w:rsidRDefault="00551FA5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</w:p>
    <w:p w14:paraId="288154CF" w14:textId="1C72B145" w:rsidR="00551FA5" w:rsidRDefault="00551FA5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</w:p>
    <w:p w14:paraId="6F8AE09E" w14:textId="056A8ACD" w:rsidR="00551FA5" w:rsidRDefault="00551FA5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u w:val="single"/>
        </w:rPr>
      </w:pPr>
    </w:p>
    <w:sectPr w:rsidR="00551FA5" w:rsidSect="00BA1909">
      <w:headerReference w:type="default" r:id="rId9"/>
      <w:footerReference w:type="default" r:id="rId10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FA359" w14:textId="77777777" w:rsidR="00A61CB0" w:rsidRDefault="00A61CB0" w:rsidP="00F23F6D">
      <w:pPr>
        <w:spacing w:after="0" w:line="240" w:lineRule="auto"/>
      </w:pPr>
      <w:r>
        <w:separator/>
      </w:r>
    </w:p>
  </w:endnote>
  <w:endnote w:type="continuationSeparator" w:id="0">
    <w:p w14:paraId="7B09C2E6" w14:textId="77777777" w:rsidR="00A61CB0" w:rsidRDefault="00A61CB0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2E049" w14:textId="77777777" w:rsidR="00A61CB0" w:rsidRDefault="00A61CB0" w:rsidP="00F23F6D">
      <w:pPr>
        <w:spacing w:after="0" w:line="240" w:lineRule="auto"/>
      </w:pPr>
      <w:r>
        <w:separator/>
      </w:r>
    </w:p>
  </w:footnote>
  <w:footnote w:type="continuationSeparator" w:id="0">
    <w:p w14:paraId="7246906B" w14:textId="77777777" w:rsidR="00A61CB0" w:rsidRDefault="00A61CB0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73359C"/>
    <w:multiLevelType w:val="multilevel"/>
    <w:tmpl w:val="DBD88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E95744"/>
    <w:multiLevelType w:val="multilevel"/>
    <w:tmpl w:val="36E65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B76CD9"/>
    <w:multiLevelType w:val="multilevel"/>
    <w:tmpl w:val="36862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16125"/>
    <w:rsid w:val="00031320"/>
    <w:rsid w:val="00037C8F"/>
    <w:rsid w:val="00051C92"/>
    <w:rsid w:val="00067DD6"/>
    <w:rsid w:val="000906EF"/>
    <w:rsid w:val="00091F6D"/>
    <w:rsid w:val="000A0C40"/>
    <w:rsid w:val="000A5255"/>
    <w:rsid w:val="000C6870"/>
    <w:rsid w:val="000E447B"/>
    <w:rsid w:val="00111C7F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909"/>
    <w:rsid w:val="001E4E10"/>
    <w:rsid w:val="001E6EFA"/>
    <w:rsid w:val="0025136D"/>
    <w:rsid w:val="002538AC"/>
    <w:rsid w:val="00295A54"/>
    <w:rsid w:val="002D437A"/>
    <w:rsid w:val="002D7D06"/>
    <w:rsid w:val="002E5F7F"/>
    <w:rsid w:val="00312910"/>
    <w:rsid w:val="003336D2"/>
    <w:rsid w:val="003431F9"/>
    <w:rsid w:val="00365E76"/>
    <w:rsid w:val="00376225"/>
    <w:rsid w:val="00387015"/>
    <w:rsid w:val="00395D98"/>
    <w:rsid w:val="003A0545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068A"/>
    <w:rsid w:val="004046AD"/>
    <w:rsid w:val="004176AC"/>
    <w:rsid w:val="00417BE6"/>
    <w:rsid w:val="00433A6E"/>
    <w:rsid w:val="00441369"/>
    <w:rsid w:val="00445684"/>
    <w:rsid w:val="0047560C"/>
    <w:rsid w:val="00490F28"/>
    <w:rsid w:val="004A157F"/>
    <w:rsid w:val="004B7CC5"/>
    <w:rsid w:val="004C3507"/>
    <w:rsid w:val="004C7104"/>
    <w:rsid w:val="004E1C6F"/>
    <w:rsid w:val="004E2A18"/>
    <w:rsid w:val="005112C1"/>
    <w:rsid w:val="005208E7"/>
    <w:rsid w:val="00525F03"/>
    <w:rsid w:val="00531F53"/>
    <w:rsid w:val="00545AE3"/>
    <w:rsid w:val="00551FA5"/>
    <w:rsid w:val="00552A4D"/>
    <w:rsid w:val="00553F7E"/>
    <w:rsid w:val="00557E80"/>
    <w:rsid w:val="00574F49"/>
    <w:rsid w:val="005B0603"/>
    <w:rsid w:val="005D5FC1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151B2"/>
    <w:rsid w:val="007769EC"/>
    <w:rsid w:val="007B7557"/>
    <w:rsid w:val="007D429F"/>
    <w:rsid w:val="007E55AD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D05F3"/>
    <w:rsid w:val="008F0351"/>
    <w:rsid w:val="0090032E"/>
    <w:rsid w:val="009055D4"/>
    <w:rsid w:val="009357CE"/>
    <w:rsid w:val="009635DB"/>
    <w:rsid w:val="00982CB7"/>
    <w:rsid w:val="009961E8"/>
    <w:rsid w:val="0099700B"/>
    <w:rsid w:val="009A2BDA"/>
    <w:rsid w:val="009A4FCB"/>
    <w:rsid w:val="009A72E2"/>
    <w:rsid w:val="009B4D40"/>
    <w:rsid w:val="009C3954"/>
    <w:rsid w:val="009D055B"/>
    <w:rsid w:val="009D2831"/>
    <w:rsid w:val="009E31CD"/>
    <w:rsid w:val="00A143D6"/>
    <w:rsid w:val="00A31622"/>
    <w:rsid w:val="00A363BD"/>
    <w:rsid w:val="00A56767"/>
    <w:rsid w:val="00A61CB0"/>
    <w:rsid w:val="00A661AF"/>
    <w:rsid w:val="00A70C59"/>
    <w:rsid w:val="00A93BFE"/>
    <w:rsid w:val="00AA03A8"/>
    <w:rsid w:val="00AA4EF0"/>
    <w:rsid w:val="00AB0F08"/>
    <w:rsid w:val="00AC233F"/>
    <w:rsid w:val="00AD132B"/>
    <w:rsid w:val="00AF68EE"/>
    <w:rsid w:val="00AF6E84"/>
    <w:rsid w:val="00B02DFE"/>
    <w:rsid w:val="00B12D85"/>
    <w:rsid w:val="00B73DAD"/>
    <w:rsid w:val="00B768DC"/>
    <w:rsid w:val="00BA1909"/>
    <w:rsid w:val="00BA1B47"/>
    <w:rsid w:val="00BB37C1"/>
    <w:rsid w:val="00BC16B5"/>
    <w:rsid w:val="00BF3D00"/>
    <w:rsid w:val="00C06CBE"/>
    <w:rsid w:val="00C16B32"/>
    <w:rsid w:val="00C22851"/>
    <w:rsid w:val="00C30C62"/>
    <w:rsid w:val="00C32F20"/>
    <w:rsid w:val="00C3713D"/>
    <w:rsid w:val="00C62496"/>
    <w:rsid w:val="00C72F33"/>
    <w:rsid w:val="00C76619"/>
    <w:rsid w:val="00C80944"/>
    <w:rsid w:val="00C8695C"/>
    <w:rsid w:val="00C91A2F"/>
    <w:rsid w:val="00CB003D"/>
    <w:rsid w:val="00CF583F"/>
    <w:rsid w:val="00D17ADA"/>
    <w:rsid w:val="00D41744"/>
    <w:rsid w:val="00D5017B"/>
    <w:rsid w:val="00D86FC7"/>
    <w:rsid w:val="00D92C45"/>
    <w:rsid w:val="00DB6100"/>
    <w:rsid w:val="00DC2DCC"/>
    <w:rsid w:val="00DF159D"/>
    <w:rsid w:val="00DF3FE9"/>
    <w:rsid w:val="00E325B5"/>
    <w:rsid w:val="00E53EC7"/>
    <w:rsid w:val="00E55946"/>
    <w:rsid w:val="00E60800"/>
    <w:rsid w:val="00E65545"/>
    <w:rsid w:val="00E67420"/>
    <w:rsid w:val="00E87F01"/>
    <w:rsid w:val="00E90F1C"/>
    <w:rsid w:val="00EB2B98"/>
    <w:rsid w:val="00EB4B9E"/>
    <w:rsid w:val="00ED017B"/>
    <w:rsid w:val="00EE7CAD"/>
    <w:rsid w:val="00EF0CDC"/>
    <w:rsid w:val="00EF7FF8"/>
    <w:rsid w:val="00F06726"/>
    <w:rsid w:val="00F23F6D"/>
    <w:rsid w:val="00F33578"/>
    <w:rsid w:val="00F54CAA"/>
    <w:rsid w:val="00F6156B"/>
    <w:rsid w:val="00F678D4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  <w:style w:type="paragraph" w:customStyle="1" w:styleId="texto1">
    <w:name w:val="texto1"/>
    <w:basedOn w:val="Normal"/>
    <w:rsid w:val="00111C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1055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4</cp:revision>
  <cp:lastPrinted>2025-05-29T15:49:00Z</cp:lastPrinted>
  <dcterms:created xsi:type="dcterms:W3CDTF">2025-05-29T15:18:00Z</dcterms:created>
  <dcterms:modified xsi:type="dcterms:W3CDTF">2025-05-29T15:54:00Z</dcterms:modified>
</cp:coreProperties>
</file>