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D932DB" w:rsidRDefault="00D932DB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B162D3" w:rsidRDefault="00B162D3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</w:p>
    <w:p w:rsidR="00F16D1A" w:rsidRPr="00F16D1A" w:rsidRDefault="003A76F6" w:rsidP="00F16D1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 </w:t>
      </w:r>
      <w:r w:rsidR="00F16D1A" w:rsidRPr="00F16D1A">
        <w:rPr>
          <w:rFonts w:cstheme="minorHAnsi"/>
          <w:bCs/>
        </w:rPr>
        <w:t xml:space="preserve">O </w:t>
      </w:r>
      <w:proofErr w:type="spellStart"/>
      <w:r w:rsidR="00F16D1A" w:rsidRPr="00F16D1A">
        <w:rPr>
          <w:rFonts w:cstheme="minorHAnsi"/>
          <w:bCs/>
        </w:rPr>
        <w:t>feminicídio</w:t>
      </w:r>
      <w:proofErr w:type="spellEnd"/>
      <w:r w:rsidR="00F16D1A" w:rsidRPr="00F16D1A">
        <w:rPr>
          <w:rFonts w:cstheme="minorHAnsi"/>
          <w:bCs/>
        </w:rPr>
        <w:t xml:space="preserve"> é uma das formas mais graves de violência contra a mulher e deixa profundas consequências sociais, especialmente para os filhos das vítimas.</w:t>
      </w:r>
    </w:p>
    <w:p w:rsidR="00F16D1A" w:rsidRPr="00F16D1A" w:rsidRDefault="003A76F6" w:rsidP="00F16D1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 </w:t>
      </w:r>
      <w:r w:rsidR="00F16D1A" w:rsidRPr="00F16D1A">
        <w:rPr>
          <w:rFonts w:cstheme="minorHAnsi"/>
          <w:bCs/>
        </w:rPr>
        <w:t>Crianças e adolescentes que perdem suas mães em decorrência dessa violência passam a enfrentar situações de extrema vulnerabilidade emocional, social e econômica.</w:t>
      </w:r>
    </w:p>
    <w:p w:rsidR="00F16D1A" w:rsidRPr="00F16D1A" w:rsidRDefault="003A76F6" w:rsidP="00F16D1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 </w:t>
      </w:r>
      <w:r w:rsidR="00F16D1A" w:rsidRPr="00F16D1A">
        <w:rPr>
          <w:rFonts w:cstheme="minorHAnsi"/>
          <w:bCs/>
        </w:rPr>
        <w:t>Nesse contexto, torna-se fundamental que o poder público municipal organize diretrizes para garantir apoio institucional a essas crianças e adolescentes, promovendo acompanhamento psicossocial, continuidade escolar e articulação entre os serviços públicos.</w:t>
      </w:r>
    </w:p>
    <w:p w:rsidR="00F16D1A" w:rsidRPr="00F16D1A" w:rsidRDefault="003A76F6" w:rsidP="00F16D1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 </w:t>
      </w:r>
      <w:r w:rsidR="00F16D1A" w:rsidRPr="00F16D1A">
        <w:rPr>
          <w:rFonts w:cstheme="minorHAnsi"/>
          <w:bCs/>
        </w:rPr>
        <w:t xml:space="preserve">A proposta busca integrar as políticas municipais já existentes de assistência social, saúde e educação, garantindo uma rede de proteção capaz de oferecer suporte adequado aos chamados órfãos de </w:t>
      </w:r>
      <w:proofErr w:type="spellStart"/>
      <w:r w:rsidR="00F16D1A" w:rsidRPr="00F16D1A">
        <w:rPr>
          <w:rFonts w:cstheme="minorHAnsi"/>
          <w:bCs/>
        </w:rPr>
        <w:t>feminicídio</w:t>
      </w:r>
      <w:proofErr w:type="spellEnd"/>
      <w:r w:rsidR="00F16D1A" w:rsidRPr="00F16D1A">
        <w:rPr>
          <w:rFonts w:cstheme="minorHAnsi"/>
          <w:bCs/>
        </w:rPr>
        <w:t>.</w:t>
      </w:r>
    </w:p>
    <w:p w:rsidR="00F16D1A" w:rsidRPr="00F16D1A" w:rsidRDefault="003A76F6" w:rsidP="00F16D1A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 </w:t>
      </w:r>
      <w:r w:rsidR="00F16D1A" w:rsidRPr="00F16D1A">
        <w:rPr>
          <w:rFonts w:cstheme="minorHAnsi"/>
          <w:bCs/>
        </w:rPr>
        <w:t>Trata-se de medida de caráter humanitário e de proteção integral à infância e adolescência, em consonância com os princípios do Estatuto da Criança e do Adolescente e com as políticas públicas de enfrentamento à violência contra a mulher.</w:t>
      </w:r>
    </w:p>
    <w:p w:rsidR="00194A2E" w:rsidRPr="00453BDC" w:rsidRDefault="00194A2E" w:rsidP="00B71314">
      <w:pPr>
        <w:spacing w:line="276" w:lineRule="auto"/>
        <w:jc w:val="both"/>
        <w:rPr>
          <w:rFonts w:cstheme="minorHAnsi"/>
          <w:bCs/>
        </w:rPr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BA5A31" w:rsidP="002A5196">
            <w:pPr>
              <w:jc w:val="center"/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</w:t>
            </w: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="00194A2E">
              <w:rPr>
                <w:b/>
                <w:bCs/>
              </w:rPr>
              <w:t>___/2026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3573B5" w:rsidRDefault="003573B5" w:rsidP="00B10CCB">
      <w:pPr>
        <w:spacing w:line="276" w:lineRule="auto"/>
        <w:jc w:val="both"/>
        <w:rPr>
          <w:b/>
        </w:rPr>
      </w:pPr>
      <w:r w:rsidRPr="003573B5">
        <w:rPr>
          <w:b/>
        </w:rPr>
        <w:t xml:space="preserve"> INSTITUI DIRETRIZES PARA O PROGRAMA MUNICIPAL DE APOIO E PROTEÇÃO INTEGRAL AOS ÓRFÃOS DE FEMINICÍDIO NO MUNICÍPIO DE ANANINDEUA.</w:t>
      </w:r>
    </w:p>
    <w:p w:rsidR="003573B5" w:rsidRDefault="003573B5" w:rsidP="00B10CCB">
      <w:pPr>
        <w:spacing w:line="276" w:lineRule="auto"/>
        <w:jc w:val="both"/>
        <w:rPr>
          <w:b/>
        </w:rPr>
      </w:pPr>
    </w:p>
    <w:p w:rsidR="003573B5" w:rsidRPr="00F16D1A" w:rsidRDefault="003573B5" w:rsidP="003573B5">
      <w:pPr>
        <w:spacing w:line="276" w:lineRule="auto"/>
        <w:jc w:val="both"/>
      </w:pPr>
      <w:r w:rsidRPr="00F16D1A">
        <w:t>A Câmara Municipal de Ananindeua decreta: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Art. 1º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 xml:space="preserve">Ficam instituídas diretrizes para o Programa Municipal de Apoio e Proteção Integral aos Órfãos de </w:t>
      </w:r>
      <w:proofErr w:type="spellStart"/>
      <w:r w:rsidRPr="00F16D1A">
        <w:t>Feminicídio</w:t>
      </w:r>
      <w:proofErr w:type="spellEnd"/>
      <w:r w:rsidRPr="00F16D1A">
        <w:t xml:space="preserve">, destinado à promoção de ações sociais, educacionais e psicossociais voltadas a crianças e adolescentes que tenham perdido suas mães em decorrência de </w:t>
      </w:r>
      <w:proofErr w:type="spellStart"/>
      <w:r w:rsidRPr="00F16D1A">
        <w:t>feminicídio</w:t>
      </w:r>
      <w:proofErr w:type="spellEnd"/>
      <w:r w:rsidRPr="00F16D1A">
        <w:t>.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Art. 2º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 xml:space="preserve">Para os fins desta Lei, consideram-se órfãos de </w:t>
      </w:r>
      <w:proofErr w:type="spellStart"/>
      <w:r w:rsidRPr="00F16D1A">
        <w:t>feminicídio</w:t>
      </w:r>
      <w:proofErr w:type="spellEnd"/>
      <w:r w:rsidRPr="00F16D1A">
        <w:t xml:space="preserve"> as crianças e adolescentes cuja mãe tenha sido vítima de </w:t>
      </w:r>
      <w:proofErr w:type="spellStart"/>
      <w:r w:rsidRPr="00F16D1A">
        <w:t>feminicídio</w:t>
      </w:r>
      <w:proofErr w:type="spellEnd"/>
      <w:r w:rsidRPr="00F16D1A">
        <w:t>, nos termos da legislação penal vigente.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Art. 3º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Constituem diretrizes do Programa:</w:t>
      </w:r>
    </w:p>
    <w:p w:rsidR="003573B5" w:rsidRPr="00F16D1A" w:rsidRDefault="003573B5" w:rsidP="003573B5">
      <w:pPr>
        <w:spacing w:line="276" w:lineRule="auto"/>
        <w:jc w:val="both"/>
      </w:pPr>
      <w:bookmarkStart w:id="0" w:name="_GoBack"/>
      <w:bookmarkEnd w:id="0"/>
      <w:r w:rsidRPr="00F16D1A">
        <w:t>I – promoção da continuidade dos vínculos educacionais, com prioridade na matrícula e rematrícula na rede municipal de ensino;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 xml:space="preserve">II – </w:t>
      </w:r>
      <w:proofErr w:type="gramStart"/>
      <w:r w:rsidRPr="00F16D1A">
        <w:t>incentivo</w:t>
      </w:r>
      <w:proofErr w:type="gramEnd"/>
      <w:r w:rsidRPr="00F16D1A">
        <w:t xml:space="preserve"> ao acompanhamento psicossocial por meio dos serviços públicos municipais existentes;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III – articulação entre os serviços municipais de assistência social, educação, saúde e os Conselhos Tutelares;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 xml:space="preserve">IV – </w:t>
      </w:r>
      <w:proofErr w:type="gramStart"/>
      <w:r w:rsidRPr="00F16D1A">
        <w:t>fortalecimento</w:t>
      </w:r>
      <w:proofErr w:type="gramEnd"/>
      <w:r w:rsidRPr="00F16D1A">
        <w:t xml:space="preserve"> de ações de apoio familiar e comunitário;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 xml:space="preserve">V – </w:t>
      </w:r>
      <w:proofErr w:type="gramStart"/>
      <w:r w:rsidRPr="00F16D1A">
        <w:t>integração</w:t>
      </w:r>
      <w:proofErr w:type="gramEnd"/>
      <w:r w:rsidRPr="00F16D1A">
        <w:t xml:space="preserve"> com políticas públicas municipais de proteção à criança e ao adolescente e de enfrentamento à violência contra a mulher.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Art. 4º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A implementação das diretrizes observará: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 xml:space="preserve">I – </w:t>
      </w:r>
      <w:proofErr w:type="gramStart"/>
      <w:r w:rsidRPr="00F16D1A">
        <w:t>as</w:t>
      </w:r>
      <w:proofErr w:type="gramEnd"/>
      <w:r w:rsidRPr="00F16D1A">
        <w:t xml:space="preserve"> competências constitucionais do Município;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 xml:space="preserve">II – </w:t>
      </w:r>
      <w:proofErr w:type="gramStart"/>
      <w:r w:rsidRPr="00F16D1A">
        <w:t>a</w:t>
      </w:r>
      <w:proofErr w:type="gramEnd"/>
      <w:r w:rsidRPr="00F16D1A">
        <w:t xml:space="preserve"> legislação federal e estadual aplicável;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III – a estrutura administrativa já existente;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 xml:space="preserve">IV – </w:t>
      </w:r>
      <w:proofErr w:type="gramStart"/>
      <w:r w:rsidRPr="00F16D1A">
        <w:t>a</w:t>
      </w:r>
      <w:proofErr w:type="gramEnd"/>
      <w:r w:rsidRPr="00F16D1A">
        <w:t xml:space="preserve"> disponibilidade orçamentária.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Art. 5º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 xml:space="preserve">O Poder Executivo poderá regulamentar esta Lei para definir mecanismos de articulação </w:t>
      </w:r>
      <w:proofErr w:type="spellStart"/>
      <w:r w:rsidRPr="00F16D1A">
        <w:t>intersetorial</w:t>
      </w:r>
      <w:proofErr w:type="spellEnd"/>
      <w:r w:rsidRPr="00F16D1A">
        <w:t xml:space="preserve"> e procedimentos administrativos.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Art. 6º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Instrumentos de acompanhamento de casos deverão observar as normas de proteção de dados pessoais e garantir o sigilo e a proteção dos envolvidos.</w:t>
      </w:r>
    </w:p>
    <w:p w:rsidR="003573B5" w:rsidRPr="00F16D1A" w:rsidRDefault="003573B5" w:rsidP="003573B5">
      <w:pPr>
        <w:spacing w:line="276" w:lineRule="auto"/>
        <w:jc w:val="both"/>
      </w:pPr>
    </w:p>
    <w:p w:rsidR="003573B5" w:rsidRPr="00F16D1A" w:rsidRDefault="003573B5" w:rsidP="003573B5">
      <w:pPr>
        <w:spacing w:line="276" w:lineRule="auto"/>
        <w:jc w:val="both"/>
      </w:pPr>
      <w:r w:rsidRPr="00F16D1A">
        <w:t>Art. 7º</w:t>
      </w:r>
    </w:p>
    <w:p w:rsidR="008A7339" w:rsidRDefault="008A7339" w:rsidP="00B10CCB">
      <w:pPr>
        <w:spacing w:line="276" w:lineRule="auto"/>
        <w:jc w:val="both"/>
      </w:pPr>
      <w:r>
        <w:t>Esta Lei entra em vigor na data de sua publicação.</w:t>
      </w:r>
    </w:p>
    <w:p w:rsidR="008A7339" w:rsidRDefault="008A7339" w:rsidP="008A7339">
      <w:pPr>
        <w:jc w:val="both"/>
      </w:pPr>
    </w:p>
    <w:p w:rsidR="00EF6033" w:rsidRPr="00F337E2" w:rsidRDefault="00BD385F" w:rsidP="00BD385F">
      <w:pPr>
        <w:jc w:val="both"/>
      </w:pPr>
      <w:r w:rsidRPr="00BD385F">
        <w:t>Sala das Sessões da Câ</w:t>
      </w:r>
      <w:r>
        <w:t>mara Mun</w:t>
      </w:r>
      <w:r w:rsidR="008A7339">
        <w:t>icipa</w:t>
      </w:r>
      <w:r w:rsidR="00D7334A">
        <w:t xml:space="preserve">l de Ananindeua, </w:t>
      </w:r>
      <w:r w:rsidR="00851B34">
        <w:t>13 de março de 2026</w:t>
      </w:r>
      <w:r w:rsidRPr="00BD385F">
        <w:t>.</w:t>
      </w:r>
    </w:p>
    <w:p w:rsidR="007E4FA8" w:rsidRPr="00F337E2" w:rsidRDefault="007E4FA8" w:rsidP="00BD385F">
      <w:pPr>
        <w:spacing w:line="276" w:lineRule="auto"/>
        <w:jc w:val="both"/>
      </w:pPr>
    </w:p>
    <w:p w:rsidR="00EF6033" w:rsidRPr="00E83BAA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BD385F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2B7D" w:rsidRDefault="00962B7D" w:rsidP="005E33AE">
      <w:r>
        <w:separator/>
      </w:r>
    </w:p>
  </w:endnote>
  <w:endnote w:type="continuationSeparator" w:id="0">
    <w:p w:rsidR="00962B7D" w:rsidRDefault="00962B7D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2B7D" w:rsidRDefault="00962B7D" w:rsidP="005E33AE">
      <w:r>
        <w:separator/>
      </w:r>
    </w:p>
  </w:footnote>
  <w:footnote w:type="continuationSeparator" w:id="0">
    <w:p w:rsidR="00962B7D" w:rsidRDefault="00962B7D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B5"/>
    <w:rsid w:val="000656C0"/>
    <w:rsid w:val="00095728"/>
    <w:rsid w:val="00096747"/>
    <w:rsid w:val="000F40A3"/>
    <w:rsid w:val="00111A0C"/>
    <w:rsid w:val="00123FB7"/>
    <w:rsid w:val="0018252F"/>
    <w:rsid w:val="00194A2E"/>
    <w:rsid w:val="001A6DD2"/>
    <w:rsid w:val="001E7060"/>
    <w:rsid w:val="002248AA"/>
    <w:rsid w:val="00244BE4"/>
    <w:rsid w:val="00256969"/>
    <w:rsid w:val="00261611"/>
    <w:rsid w:val="002A1614"/>
    <w:rsid w:val="00304110"/>
    <w:rsid w:val="00315358"/>
    <w:rsid w:val="00320642"/>
    <w:rsid w:val="003573B5"/>
    <w:rsid w:val="003579F0"/>
    <w:rsid w:val="00364243"/>
    <w:rsid w:val="00366345"/>
    <w:rsid w:val="00390752"/>
    <w:rsid w:val="003A76F6"/>
    <w:rsid w:val="003F7B4C"/>
    <w:rsid w:val="00402573"/>
    <w:rsid w:val="00410B81"/>
    <w:rsid w:val="00453BDC"/>
    <w:rsid w:val="00490F2A"/>
    <w:rsid w:val="004A0185"/>
    <w:rsid w:val="004A1004"/>
    <w:rsid w:val="004A107B"/>
    <w:rsid w:val="004C6644"/>
    <w:rsid w:val="00566B0B"/>
    <w:rsid w:val="005809A0"/>
    <w:rsid w:val="00583746"/>
    <w:rsid w:val="00585588"/>
    <w:rsid w:val="0059480B"/>
    <w:rsid w:val="005A2D50"/>
    <w:rsid w:val="005E33AE"/>
    <w:rsid w:val="006246EB"/>
    <w:rsid w:val="006361F1"/>
    <w:rsid w:val="006370F7"/>
    <w:rsid w:val="00697BC1"/>
    <w:rsid w:val="006D2EC1"/>
    <w:rsid w:val="006D6324"/>
    <w:rsid w:val="006E6EFD"/>
    <w:rsid w:val="006F7D7E"/>
    <w:rsid w:val="007140BE"/>
    <w:rsid w:val="00746FBB"/>
    <w:rsid w:val="0078085D"/>
    <w:rsid w:val="007934A1"/>
    <w:rsid w:val="007934B4"/>
    <w:rsid w:val="007C0B33"/>
    <w:rsid w:val="007E4FA8"/>
    <w:rsid w:val="007E572B"/>
    <w:rsid w:val="00816868"/>
    <w:rsid w:val="008336E3"/>
    <w:rsid w:val="0083525A"/>
    <w:rsid w:val="00851B34"/>
    <w:rsid w:val="0086717D"/>
    <w:rsid w:val="00870E7A"/>
    <w:rsid w:val="008A472B"/>
    <w:rsid w:val="008A7339"/>
    <w:rsid w:val="008D0460"/>
    <w:rsid w:val="0092237C"/>
    <w:rsid w:val="009303A2"/>
    <w:rsid w:val="00960889"/>
    <w:rsid w:val="00960A55"/>
    <w:rsid w:val="0096149C"/>
    <w:rsid w:val="00962B7D"/>
    <w:rsid w:val="0096588A"/>
    <w:rsid w:val="00966666"/>
    <w:rsid w:val="00970350"/>
    <w:rsid w:val="009E4867"/>
    <w:rsid w:val="00A03312"/>
    <w:rsid w:val="00A16B82"/>
    <w:rsid w:val="00A17159"/>
    <w:rsid w:val="00A7353B"/>
    <w:rsid w:val="00AA2188"/>
    <w:rsid w:val="00AB54AB"/>
    <w:rsid w:val="00AE3011"/>
    <w:rsid w:val="00B10CCB"/>
    <w:rsid w:val="00B162D3"/>
    <w:rsid w:val="00B20441"/>
    <w:rsid w:val="00B53170"/>
    <w:rsid w:val="00B562FA"/>
    <w:rsid w:val="00B71314"/>
    <w:rsid w:val="00B71629"/>
    <w:rsid w:val="00BA5A31"/>
    <w:rsid w:val="00BD385F"/>
    <w:rsid w:val="00BE4374"/>
    <w:rsid w:val="00C06614"/>
    <w:rsid w:val="00C10E0D"/>
    <w:rsid w:val="00C15716"/>
    <w:rsid w:val="00C47D4D"/>
    <w:rsid w:val="00C5134B"/>
    <w:rsid w:val="00C97478"/>
    <w:rsid w:val="00CB25C3"/>
    <w:rsid w:val="00CF6560"/>
    <w:rsid w:val="00D472ED"/>
    <w:rsid w:val="00D7334A"/>
    <w:rsid w:val="00D73584"/>
    <w:rsid w:val="00D932DB"/>
    <w:rsid w:val="00D9493A"/>
    <w:rsid w:val="00DF769C"/>
    <w:rsid w:val="00E83BAA"/>
    <w:rsid w:val="00ED52B5"/>
    <w:rsid w:val="00ED53A8"/>
    <w:rsid w:val="00ED7993"/>
    <w:rsid w:val="00EF22DE"/>
    <w:rsid w:val="00EF6033"/>
    <w:rsid w:val="00F05F71"/>
    <w:rsid w:val="00F108C2"/>
    <w:rsid w:val="00F16D1A"/>
    <w:rsid w:val="00F337E2"/>
    <w:rsid w:val="00F703D7"/>
    <w:rsid w:val="00F95F60"/>
    <w:rsid w:val="00FA2308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33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500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User</cp:lastModifiedBy>
  <cp:revision>15</cp:revision>
  <cp:lastPrinted>2026-03-13T14:47:00Z</cp:lastPrinted>
  <dcterms:created xsi:type="dcterms:W3CDTF">2025-04-09T21:37:00Z</dcterms:created>
  <dcterms:modified xsi:type="dcterms:W3CDTF">2026-03-13T14:51:00Z</dcterms:modified>
</cp:coreProperties>
</file>