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C6085" w14:textId="77777777" w:rsidR="002772C5" w:rsidRPr="005A7B83" w:rsidRDefault="002772C5" w:rsidP="002772C5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144FBDBD" w14:textId="77777777" w:rsidR="002772C5" w:rsidRPr="005A7B83" w:rsidRDefault="002772C5" w:rsidP="002772C5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522EB2F5" w14:textId="77777777" w:rsidR="002772C5" w:rsidRPr="005A7B83" w:rsidRDefault="002772C5" w:rsidP="002772C5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64943CCA" w14:textId="77777777" w:rsidR="002772C5" w:rsidRDefault="002772C5" w:rsidP="002772C5">
      <w:pPr>
        <w:spacing w:line="240" w:lineRule="auto"/>
        <w:rPr>
          <w:sz w:val="24"/>
          <w:szCs w:val="24"/>
        </w:rPr>
      </w:pPr>
    </w:p>
    <w:p w14:paraId="25ECFEC8" w14:textId="77777777" w:rsidR="002772C5" w:rsidRPr="00CD0AAD" w:rsidRDefault="002772C5" w:rsidP="002772C5">
      <w:pPr>
        <w:ind w:left="4536"/>
        <w:jc w:val="both"/>
        <w:rPr>
          <w:b/>
          <w:sz w:val="24"/>
          <w:szCs w:val="24"/>
        </w:rPr>
      </w:pPr>
      <w:r w:rsidRPr="00CD0AAD">
        <w:rPr>
          <w:b/>
          <w:sz w:val="24"/>
          <w:szCs w:val="24"/>
        </w:rPr>
        <w:t>PROJETO DE LEI</w:t>
      </w:r>
      <w:r>
        <w:rPr>
          <w:b/>
          <w:sz w:val="24"/>
          <w:szCs w:val="24"/>
        </w:rPr>
        <w:t xml:space="preserve"> N°         /2026.</w:t>
      </w:r>
    </w:p>
    <w:p w14:paraId="0FF6F9A1" w14:textId="77777777" w:rsidR="002772C5" w:rsidRPr="00CD0AAD" w:rsidRDefault="002772C5" w:rsidP="002772C5">
      <w:pPr>
        <w:ind w:left="4536"/>
        <w:jc w:val="both"/>
        <w:rPr>
          <w:b/>
          <w:sz w:val="24"/>
          <w:szCs w:val="24"/>
        </w:rPr>
      </w:pPr>
    </w:p>
    <w:p w14:paraId="723E6C8C" w14:textId="2F5EEFF2" w:rsidR="002772C5" w:rsidRPr="002772C5" w:rsidRDefault="002772C5" w:rsidP="002772C5">
      <w:pPr>
        <w:ind w:left="4536" w:firstLine="709"/>
        <w:jc w:val="both"/>
        <w:rPr>
          <w:b/>
          <w:bCs/>
          <w:sz w:val="24"/>
          <w:szCs w:val="24"/>
        </w:rPr>
      </w:pPr>
      <w:r w:rsidRPr="002772C5">
        <w:rPr>
          <w:b/>
          <w:bCs/>
          <w:sz w:val="24"/>
          <w:szCs w:val="24"/>
        </w:rPr>
        <w:t>Institui o Programa "Escola Iluminada" no Município de Ananindeua, estabelecendo o cronograma de manutenção preventiva e periódica da rede de iluminação pública no entorno das instituições de ensino, e dá outras providências.</w:t>
      </w:r>
    </w:p>
    <w:p w14:paraId="5FD7212E" w14:textId="568450D4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 xml:space="preserve"> </w:t>
      </w:r>
    </w:p>
    <w:p w14:paraId="5B20D852" w14:textId="77777777" w:rsidR="002772C5" w:rsidRPr="002772C5" w:rsidRDefault="002772C5" w:rsidP="002772C5">
      <w:pPr>
        <w:ind w:firstLine="708"/>
        <w:jc w:val="both"/>
        <w:rPr>
          <w:b/>
          <w:bCs/>
          <w:sz w:val="24"/>
          <w:szCs w:val="24"/>
        </w:rPr>
      </w:pPr>
      <w:r w:rsidRPr="002772C5">
        <w:rPr>
          <w:b/>
          <w:bCs/>
          <w:sz w:val="24"/>
          <w:szCs w:val="24"/>
        </w:rPr>
        <w:t>A CÂMARA MUNICIPAL DE ANANINDEUA ESTATUI:</w:t>
      </w:r>
    </w:p>
    <w:p w14:paraId="1617B03C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Capítulo I - Das Disposições Preliminares</w:t>
      </w:r>
    </w:p>
    <w:p w14:paraId="25D0BD99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1º – Fica instituído o cronograma de manutenção preventiva periódica da iluminação pública em todo o perímetro imediato das unidades escolares municipais, estaduais e privadas localizadas no Município de Ananindeua.</w:t>
      </w:r>
    </w:p>
    <w:p w14:paraId="54065B37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2º – Para fins desta Lei, entende-se por "entorno escolar" o raio de até 200 (duzentos) metros a partir de todos os acessos (portões) da instituição de ensino.</w:t>
      </w:r>
    </w:p>
    <w:p w14:paraId="12E63582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Capítulo II - Do Cronograma e da Manutenção</w:t>
      </w:r>
    </w:p>
    <w:p w14:paraId="249F7E9D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3º – O Poder Executivo, através do órgão competente (SEURB ou equivalente), deverá realizar vistoria e manutenção completa em cada unidade escolar, no mínimo, duas vezes ao ano, preferencialmente:</w:t>
      </w:r>
    </w:p>
    <w:p w14:paraId="15C92454" w14:textId="44AFE52D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I. No mês de janeiro, antecedendo o início do ano letivo;</w:t>
      </w:r>
    </w:p>
    <w:p w14:paraId="60837571" w14:textId="7AC2233C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II. No mês de julho, durante o recesso escolar do meio de ano.</w:t>
      </w:r>
    </w:p>
    <w:p w14:paraId="2E3D6278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4º – A manutenção de que trata esta Lei compreende:</w:t>
      </w:r>
    </w:p>
    <w:p w14:paraId="03F75716" w14:textId="199F7A3B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Substituição de lâmpadas queimadas ou com baixa luminosidade;</w:t>
      </w:r>
    </w:p>
    <w:p w14:paraId="42D49107" w14:textId="3E1CC158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Instalação de tecnologia LED em pontos que ainda utilizem vapor de sódio/mercúrio;</w:t>
      </w:r>
    </w:p>
    <w:p w14:paraId="6FCC8F8F" w14:textId="3C393216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Limpeza de luminárias e substituição de relés fotoelétricos defeituosos;</w:t>
      </w:r>
    </w:p>
    <w:p w14:paraId="15AC4EDF" w14:textId="2E199702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Poda de árvores que estejam obstruindo a projeção da luz (em coordenação com a Secretaria de Meio Ambiente).</w:t>
      </w:r>
    </w:p>
    <w:p w14:paraId="0E5A8679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Capítulo III - Das Diretrizes e Transparência</w:t>
      </w:r>
    </w:p>
    <w:p w14:paraId="41E5920B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5º – Terão prioridade no cronograma de execução as escolas que:</w:t>
      </w:r>
    </w:p>
    <w:p w14:paraId="1F2091C8" w14:textId="37B245A3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Possuam oferta de ensino na modalidade EJA (Educação de Jovens e Adultos) ou cursos noturnos;</w:t>
      </w:r>
    </w:p>
    <w:p w14:paraId="3F855AB5" w14:textId="697DAD6D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Estejam localizadas em áreas com altos índices de criminalidade, conforme dados da Secretaria de Segurança Pública.</w:t>
      </w:r>
    </w:p>
    <w:p w14:paraId="79F59C4E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lastRenderedPageBreak/>
        <w:t>Art. 6º – O cronograma atualizado das manutenções deverá ser publicado no Portal da Transparência da Prefeitura para consulta da comunidade escolar e dos conselhos tutelares.</w:t>
      </w:r>
    </w:p>
    <w:p w14:paraId="5E7A5246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Capítulo IV - Das Disposições Finais</w:t>
      </w:r>
    </w:p>
    <w:p w14:paraId="15B31DAD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7º – As despesas decorrentes da execução desta Lei correrão por conta das dotações orçamentárias próprias, suplementadas se necessário, provenientes da Contribuição para Custeio do Serviço de Iluminação Pública (COSIP).</w:t>
      </w:r>
    </w:p>
    <w:p w14:paraId="13862BF3" w14:textId="77777777" w:rsidR="002772C5" w:rsidRPr="002772C5" w:rsidRDefault="002772C5" w:rsidP="002772C5">
      <w:pPr>
        <w:ind w:firstLine="708"/>
        <w:jc w:val="both"/>
        <w:rPr>
          <w:sz w:val="24"/>
          <w:szCs w:val="24"/>
        </w:rPr>
      </w:pPr>
      <w:r w:rsidRPr="002772C5">
        <w:rPr>
          <w:sz w:val="24"/>
          <w:szCs w:val="24"/>
        </w:rPr>
        <w:t>Art. 8º – Esta Lei entra em vigor na data de sua publicação.</w:t>
      </w:r>
    </w:p>
    <w:p w14:paraId="7D53319A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2FB60262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5A554012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5EA3D549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28F47637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3EF55A7B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5191805E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6DED63A5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7BFA16EE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1A9A9D0F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562B89FF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18B22934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0308550D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1102CDEF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1234DE1C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678CB287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5BA4E368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3E3902CF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6A04C0F2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46767F07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0C78248A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444AAB11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0D55345E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1C248097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400B5880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07655FF0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3AF5EE00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447FC0EA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73D1BC4F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2BF9661E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4382DF65" w14:textId="77777777" w:rsidR="002772C5" w:rsidRDefault="002772C5" w:rsidP="002772C5">
      <w:pPr>
        <w:ind w:firstLine="708"/>
        <w:jc w:val="both"/>
        <w:rPr>
          <w:sz w:val="24"/>
          <w:szCs w:val="24"/>
        </w:rPr>
      </w:pPr>
    </w:p>
    <w:p w14:paraId="1D50C24D" w14:textId="3ACF3AC1" w:rsidR="002772C5" w:rsidRPr="002772C5" w:rsidRDefault="002772C5" w:rsidP="002772C5">
      <w:pPr>
        <w:ind w:firstLine="708"/>
        <w:jc w:val="center"/>
        <w:rPr>
          <w:b/>
          <w:bCs/>
          <w:sz w:val="24"/>
          <w:szCs w:val="24"/>
        </w:rPr>
      </w:pPr>
      <w:r w:rsidRPr="002772C5">
        <w:rPr>
          <w:b/>
          <w:bCs/>
          <w:sz w:val="24"/>
          <w:szCs w:val="24"/>
        </w:rPr>
        <w:lastRenderedPageBreak/>
        <w:t>Justificativa</w:t>
      </w:r>
    </w:p>
    <w:p w14:paraId="18D4E416" w14:textId="77777777" w:rsidR="00D40250" w:rsidRDefault="00D40250" w:rsidP="00D40250">
      <w:pPr>
        <w:ind w:firstLine="708"/>
        <w:jc w:val="both"/>
        <w:rPr>
          <w:sz w:val="24"/>
          <w:szCs w:val="24"/>
        </w:rPr>
      </w:pPr>
    </w:p>
    <w:p w14:paraId="65A9E63C" w14:textId="7FEF4271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O presente Projeto de Lei tem por objetivo instituir, no âmbito do Município de Ananindeua, o Programa “Escola Iluminada”, estabelecendo um cronograma permanente de manutenção preventiva e periódica da iluminação pública no entorno das instituições de ensino. Trata-se de uma iniciativa que dialoga diretamente com a promoção da segurança pública, da qualidade do ambiente escolar e da garantia do direito fundamental à educação.</w:t>
      </w:r>
    </w:p>
    <w:p w14:paraId="41F27AC4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Inicialmente, cumpre destacar que a iluminação pública adequada constitui elemento essencial para a segurança urbana, sendo reconhecida como importante fator de prevenção à criminalidade. Estudos e experiências administrativas demonstram que áreas bem iluminadas reduzem significativamente a incidência de delitos, especialmente no período noturno. Nesse contexto, a presente proposição ganha ainda mais relevância ao priorizar o entorno escolar, espaço que concentra diariamente crianças, adolescentes, jovens e adultos, além de profissionais da educação e familiares.</w:t>
      </w:r>
    </w:p>
    <w:p w14:paraId="57385AED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O Município de Ananindeua possui uma rede educacional diversificada, que inclui unidades com funcionamento em tempo integral e, especialmente, no período noturno, como é o caso da Educação de Jovens e Adultos (EJA). Nessas situações, a ausência ou precariedade da iluminação pública representa risco concreto à integridade física dos estudantes e trabalhadores da educação, podendo, inclusive, contribuir para a evasão escolar. Assim, ao assegurar a manutenção periódica da iluminação no entorno dessas unidades, o Poder Público atua diretamente na promoção do acesso, da permanência e do sucesso escolar.</w:t>
      </w:r>
    </w:p>
    <w:p w14:paraId="280509DF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Sob a perspectiva jurídica, a proposta encontra amparo no dever constitucional dos entes municipais de promover políticas públicas que assegurem o bem-estar da população, conforme preconiza o artigo 30 da Constituição Federal, que atribui ao Município a competência para legislar sobre assuntos de interesse local e organizar e prestar serviços públicos, incluindo a iluminação pública. Ademais, o artigo 227 da Constituição Federal estabelece como dever do Estado assegurar, com absoluta prioridade, os direitos da criança e do adolescente, entre os quais se destaca a proteção à vida e à segurança.</w:t>
      </w:r>
    </w:p>
    <w:p w14:paraId="64586655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A iniciativa também se alinha às diretrizes do Estatuto da Criança e do Adolescente (Lei nº 8.069/1990), que impõe ao Poder Público o dever de garantir ambientes seguros e adequados ao desenvolvimento infantojuvenil. Ao iluminar adequadamente o entorno escolar, o Município contribui para a construção de espaços mais seguros, acolhedores e propícios ao desenvolvimento integral dos educandos.</w:t>
      </w:r>
    </w:p>
    <w:p w14:paraId="77E9070A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lastRenderedPageBreak/>
        <w:t>Outro aspecto relevante da proposta é a adoção de medidas de eficiência e modernização da rede de iluminação pública, como a substituição gradual de lâmpadas convencionais por tecnologia LED. Essa medida não apenas melhora a qualidade da iluminação, como também promove economia aos cofres públicos no médio e longo prazo, em razão da maior durabilidade e eficiência energética desses equipamentos. Soma-se a isso a previsão de ações complementares, como poda de árvores e substituição de equipamentos defeituosos, garantindo maior efetividade ao serviço.</w:t>
      </w:r>
    </w:p>
    <w:p w14:paraId="41BFF63B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A instituição de um cronograma fixo de manutenção preventiva representa, ainda, avanço na gestão pública, ao substituir práticas reativas por ações planejadas e sistemáticas. Tal medida contribui para a redução de custos com manutenções emergenciais, melhora a eficiência dos serviços prestados e assegura maior previsibilidade e controle social, especialmente com a obrigatoriedade de divulgação das ações no Portal da Transparência.</w:t>
      </w:r>
    </w:p>
    <w:p w14:paraId="7C5608FA" w14:textId="77777777" w:rsidR="00D40250" w:rsidRPr="00D40250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Destaca-se, por fim, que a proposição não cria despesas sem previsão orçamentária, uma vez que indica como fonte de custeio a Contribuição para Custeio do Serviço de Iluminação Pública (COSIP), já instituída e destinada exatamente à manutenção e expansão desses serviços.</w:t>
      </w:r>
    </w:p>
    <w:p w14:paraId="3D993A9C" w14:textId="4DCF0CF9" w:rsidR="002772C5" w:rsidRDefault="00D40250" w:rsidP="00D40250">
      <w:pPr>
        <w:ind w:firstLine="708"/>
        <w:jc w:val="both"/>
        <w:rPr>
          <w:sz w:val="24"/>
          <w:szCs w:val="24"/>
        </w:rPr>
      </w:pPr>
      <w:r w:rsidRPr="00D40250">
        <w:rPr>
          <w:sz w:val="24"/>
          <w:szCs w:val="24"/>
        </w:rPr>
        <w:t>Diante do exposto, verifica-se que o presente Projeto de Lei atende ao interesse público, promove a segurança da comunidade escolar, fortalece as políticas educacionais e aprimora a gestão da iluminação pública municipal, razão pela qual se espera o apoio dos Nobres Vereadores para sua aprovação.</w:t>
      </w:r>
    </w:p>
    <w:p w14:paraId="41356A80" w14:textId="77777777" w:rsidR="00D40250" w:rsidRDefault="00D40250" w:rsidP="002772C5">
      <w:pPr>
        <w:spacing w:line="240" w:lineRule="auto"/>
        <w:rPr>
          <w:sz w:val="24"/>
          <w:szCs w:val="24"/>
        </w:rPr>
      </w:pPr>
    </w:p>
    <w:p w14:paraId="3A6A5919" w14:textId="725EFDA4" w:rsidR="002772C5" w:rsidRDefault="00D40250" w:rsidP="002772C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Ananindeua, 10 de abril de 2026.</w:t>
      </w:r>
    </w:p>
    <w:p w14:paraId="1CE8F98A" w14:textId="77777777" w:rsidR="002772C5" w:rsidRDefault="002772C5" w:rsidP="002772C5">
      <w:pPr>
        <w:spacing w:line="240" w:lineRule="auto"/>
        <w:rPr>
          <w:sz w:val="24"/>
          <w:szCs w:val="24"/>
        </w:rPr>
      </w:pPr>
    </w:p>
    <w:p w14:paraId="30B9D45D" w14:textId="77777777" w:rsidR="002772C5" w:rsidRDefault="002772C5" w:rsidP="002772C5"/>
    <w:p w14:paraId="6C112074" w14:textId="77777777" w:rsidR="00D40250" w:rsidRDefault="00D40250" w:rsidP="002772C5"/>
    <w:p w14:paraId="5132B039" w14:textId="77777777" w:rsidR="00D40250" w:rsidRDefault="00D40250" w:rsidP="002772C5"/>
    <w:p w14:paraId="1A3C3EE4" w14:textId="77777777" w:rsidR="00D40250" w:rsidRDefault="00D40250" w:rsidP="002772C5"/>
    <w:p w14:paraId="44A47BD4" w14:textId="77777777" w:rsidR="00D40250" w:rsidRDefault="00D40250" w:rsidP="002772C5"/>
    <w:p w14:paraId="31C50800" w14:textId="77777777" w:rsidR="00D40250" w:rsidRDefault="00D40250" w:rsidP="002772C5"/>
    <w:p w14:paraId="5850364C" w14:textId="77777777" w:rsidR="00D40250" w:rsidRDefault="00D40250" w:rsidP="002772C5"/>
    <w:p w14:paraId="64262435" w14:textId="77777777" w:rsidR="00D40250" w:rsidRDefault="00D40250" w:rsidP="002772C5"/>
    <w:p w14:paraId="30C490AE" w14:textId="77777777" w:rsidR="00D40250" w:rsidRDefault="00D40250" w:rsidP="002772C5"/>
    <w:p w14:paraId="6414B439" w14:textId="77777777" w:rsidR="002772C5" w:rsidRPr="005A7B83" w:rsidRDefault="002772C5" w:rsidP="002772C5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0952D0A4" w14:textId="77777777" w:rsidR="002772C5" w:rsidRPr="005A7B83" w:rsidRDefault="002772C5" w:rsidP="002772C5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4EF538D8" wp14:editId="3092A896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E5C3B" w14:textId="77777777" w:rsidR="002772C5" w:rsidRDefault="002772C5" w:rsidP="002772C5"/>
    <w:p w14:paraId="504FB1A6" w14:textId="77777777" w:rsidR="005D0721" w:rsidRDefault="005D0721"/>
    <w:sectPr w:rsidR="005D0721" w:rsidSect="002772C5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A4E79" w14:textId="77777777" w:rsidR="002772C5" w:rsidRDefault="002772C5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1B7A46D8" wp14:editId="3CFC7BC0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3D243FD4" wp14:editId="32B18201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5ED53FF8" wp14:editId="3604049B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2C5"/>
    <w:rsid w:val="002772C5"/>
    <w:rsid w:val="002F5A22"/>
    <w:rsid w:val="003274AF"/>
    <w:rsid w:val="00474B4E"/>
    <w:rsid w:val="004F4563"/>
    <w:rsid w:val="005D0721"/>
    <w:rsid w:val="007D65D0"/>
    <w:rsid w:val="00AB778A"/>
    <w:rsid w:val="00BD1F9F"/>
    <w:rsid w:val="00C84C1A"/>
    <w:rsid w:val="00D40250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CDC6A"/>
  <w15:chartTrackingRefBased/>
  <w15:docId w15:val="{5B89360C-ED95-47F7-B7B6-A1D2D77B1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2C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772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772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72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72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772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772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772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772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772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72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772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72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72C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772C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772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772C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772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772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772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77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772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77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772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772C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772C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772C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772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772C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772C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2772C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2772C5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2772C5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1047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</cp:revision>
  <dcterms:created xsi:type="dcterms:W3CDTF">2026-04-10T00:57:00Z</dcterms:created>
  <dcterms:modified xsi:type="dcterms:W3CDTF">2026-04-10T01:14:00Z</dcterms:modified>
</cp:coreProperties>
</file>