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C9DD8" w14:textId="77777777" w:rsidR="008C4D23" w:rsidRPr="00E14939" w:rsidRDefault="008C4D23" w:rsidP="008C4D23">
      <w:pPr>
        <w:pStyle w:val="Standard"/>
        <w:rPr>
          <w:rFonts w:ascii="Agency FB" w:hAnsi="Agency FB" w:cstheme="majorHAnsi"/>
          <w:b/>
          <w:bCs/>
        </w:rPr>
      </w:pPr>
      <w:r w:rsidRPr="00E14939">
        <w:rPr>
          <w:rFonts w:ascii="Agency FB" w:hAnsi="Agency FB" w:cstheme="majorHAnsi"/>
          <w:b/>
          <w:bCs/>
        </w:rPr>
        <w:t>Ao Exmo. Senhor VANDERRAY LIMA DA SILVA</w:t>
      </w:r>
    </w:p>
    <w:p w14:paraId="47C020DD" w14:textId="77777777" w:rsidR="008C4D23" w:rsidRPr="00E14939" w:rsidRDefault="008C4D23" w:rsidP="008C4D23">
      <w:pPr>
        <w:pStyle w:val="Standard"/>
        <w:rPr>
          <w:rFonts w:ascii="Agency FB" w:hAnsi="Agency FB" w:cstheme="majorHAnsi"/>
          <w:b/>
          <w:bCs/>
        </w:rPr>
      </w:pPr>
      <w:r w:rsidRPr="00E14939">
        <w:rPr>
          <w:rFonts w:ascii="Agency FB" w:hAnsi="Agency FB" w:cstheme="majorHAnsi"/>
          <w:b/>
          <w:bCs/>
        </w:rPr>
        <w:t>Presidente da CMA</w:t>
      </w:r>
    </w:p>
    <w:p w14:paraId="30B99D5F" w14:textId="77777777" w:rsidR="008C4D23" w:rsidRPr="00E14939" w:rsidRDefault="008C4D23" w:rsidP="008C4D23">
      <w:pPr>
        <w:pStyle w:val="Standard"/>
        <w:rPr>
          <w:rFonts w:ascii="Agency FB" w:hAnsi="Agency FB" w:cstheme="majorHAnsi"/>
          <w:b/>
          <w:bCs/>
        </w:rPr>
      </w:pPr>
      <w:r w:rsidRPr="00E14939">
        <w:rPr>
          <w:rFonts w:ascii="Agency FB" w:hAnsi="Agency FB" w:cstheme="majorHAnsi"/>
          <w:b/>
          <w:bCs/>
        </w:rPr>
        <w:t>Aos Exmos. Senhores Vereadores e Senhoras Vereadoras</w:t>
      </w:r>
    </w:p>
    <w:p w14:paraId="5BD717B5" w14:textId="77777777" w:rsidR="008C4D23" w:rsidRPr="00E14939" w:rsidRDefault="008C4D23" w:rsidP="008C4D23">
      <w:pPr>
        <w:rPr>
          <w:rFonts w:ascii="Agency FB" w:hAnsi="Agency FB"/>
          <w:b/>
          <w:bCs/>
          <w:sz w:val="24"/>
          <w:szCs w:val="24"/>
        </w:rPr>
      </w:pPr>
    </w:p>
    <w:p w14:paraId="65B55E8E" w14:textId="77777777" w:rsidR="008C4D23" w:rsidRPr="00E14939" w:rsidRDefault="008C4D23" w:rsidP="008C4D23">
      <w:pPr>
        <w:ind w:left="5670"/>
        <w:jc w:val="both"/>
        <w:rPr>
          <w:rFonts w:ascii="Agency FB" w:hAnsi="Agency FB"/>
          <w:b/>
          <w:bCs/>
          <w:sz w:val="24"/>
          <w:szCs w:val="24"/>
        </w:rPr>
      </w:pPr>
      <w:r w:rsidRPr="00E14939">
        <w:rPr>
          <w:rFonts w:ascii="Agency FB" w:hAnsi="Agency FB"/>
          <w:b/>
          <w:bCs/>
          <w:sz w:val="24"/>
          <w:szCs w:val="24"/>
        </w:rPr>
        <w:t>Projeto de Lei nº ____/2026</w:t>
      </w:r>
    </w:p>
    <w:p w14:paraId="0AD5BF50" w14:textId="77777777" w:rsidR="008C4D23" w:rsidRPr="00E14939" w:rsidRDefault="008C4D23" w:rsidP="003C17F0">
      <w:pPr>
        <w:ind w:left="4536"/>
        <w:jc w:val="both"/>
        <w:rPr>
          <w:rFonts w:ascii="Agency FB" w:hAnsi="Agency FB"/>
          <w:b/>
          <w:bCs/>
          <w:sz w:val="24"/>
          <w:szCs w:val="24"/>
        </w:rPr>
      </w:pPr>
      <w:r w:rsidRPr="00E14939">
        <w:rPr>
          <w:rFonts w:ascii="Agency FB" w:hAnsi="Agency FB"/>
          <w:b/>
          <w:bCs/>
          <w:sz w:val="24"/>
          <w:szCs w:val="24"/>
        </w:rPr>
        <w:t>Dispõe sobre a utilização da fiscalização eletrônica com foco na segurança viária.</w:t>
      </w:r>
    </w:p>
    <w:p w14:paraId="451928AB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06CCF0DB" w14:textId="77777777" w:rsidR="006635BB" w:rsidRPr="00E14939" w:rsidRDefault="006635BB" w:rsidP="006635BB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b/>
          <w:bCs/>
          <w:sz w:val="24"/>
          <w:szCs w:val="24"/>
        </w:rPr>
        <w:t xml:space="preserve">A CÂMARA MUNICIPAL DE ANANINDEUA, </w:t>
      </w:r>
      <w:r w:rsidRPr="00E14939">
        <w:rPr>
          <w:rFonts w:ascii="Agency FB" w:hAnsi="Agency FB"/>
          <w:sz w:val="24"/>
          <w:szCs w:val="24"/>
        </w:rPr>
        <w:t>indica ao Poder Executivo Municipal a seguinte proposição:</w:t>
      </w:r>
    </w:p>
    <w:p w14:paraId="1B5391D9" w14:textId="77777777" w:rsidR="006635BB" w:rsidRPr="00E14939" w:rsidRDefault="006635BB" w:rsidP="008C4D23">
      <w:pPr>
        <w:rPr>
          <w:rFonts w:ascii="Agency FB" w:hAnsi="Agency FB"/>
          <w:sz w:val="24"/>
          <w:szCs w:val="24"/>
        </w:rPr>
      </w:pPr>
    </w:p>
    <w:p w14:paraId="7BBCC68C" w14:textId="5810F728" w:rsidR="008C4D23" w:rsidRPr="00E14939" w:rsidRDefault="008C4D23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Art. 1º</w:t>
      </w:r>
      <w:r w:rsidR="003C17F0" w:rsidRPr="00E14939">
        <w:rPr>
          <w:rFonts w:ascii="Agency FB" w:hAnsi="Agency FB"/>
          <w:sz w:val="24"/>
          <w:szCs w:val="24"/>
        </w:rPr>
        <w:t xml:space="preserve"> - </w:t>
      </w:r>
      <w:r w:rsidRPr="00E14939">
        <w:rPr>
          <w:rFonts w:ascii="Agency FB" w:hAnsi="Agency FB"/>
          <w:sz w:val="24"/>
          <w:szCs w:val="24"/>
        </w:rPr>
        <w:t xml:space="preserve">A fiscalização eletrônica terá como objetivo prioritário a </w:t>
      </w:r>
      <w:r w:rsidR="00B11B6A" w:rsidRPr="00E14939">
        <w:rPr>
          <w:rFonts w:ascii="Agency FB" w:hAnsi="Agency FB"/>
          <w:sz w:val="24"/>
          <w:szCs w:val="24"/>
        </w:rPr>
        <w:t>“</w:t>
      </w:r>
      <w:r w:rsidRPr="00E14939">
        <w:rPr>
          <w:rFonts w:ascii="Agency FB" w:hAnsi="Agency FB"/>
          <w:sz w:val="24"/>
          <w:szCs w:val="24"/>
        </w:rPr>
        <w:t>preservação da vida</w:t>
      </w:r>
      <w:r w:rsidR="00B11B6A" w:rsidRPr="00E14939">
        <w:rPr>
          <w:rFonts w:ascii="Agency FB" w:hAnsi="Agency FB"/>
          <w:sz w:val="24"/>
          <w:szCs w:val="24"/>
        </w:rPr>
        <w:t>”</w:t>
      </w:r>
      <w:r w:rsidRPr="00E14939">
        <w:rPr>
          <w:rFonts w:ascii="Agency FB" w:hAnsi="Agency FB"/>
          <w:sz w:val="24"/>
          <w:szCs w:val="24"/>
        </w:rPr>
        <w:t>, e não a arrecadação.</w:t>
      </w:r>
    </w:p>
    <w:p w14:paraId="1419E64B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33788531" w14:textId="4975C7B0" w:rsidR="008C4D23" w:rsidRPr="00E14939" w:rsidRDefault="008C4D23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Art. 2º</w:t>
      </w:r>
      <w:r w:rsidR="003C17F0" w:rsidRPr="00E14939">
        <w:rPr>
          <w:rFonts w:ascii="Agency FB" w:hAnsi="Agency FB"/>
          <w:sz w:val="24"/>
          <w:szCs w:val="24"/>
        </w:rPr>
        <w:t xml:space="preserve"> - </w:t>
      </w:r>
      <w:r w:rsidRPr="00E14939">
        <w:rPr>
          <w:rFonts w:ascii="Agency FB" w:hAnsi="Agency FB"/>
          <w:sz w:val="24"/>
          <w:szCs w:val="24"/>
        </w:rPr>
        <w:t>Os equipamentos deverão ser instalados prioritariamente em:</w:t>
      </w:r>
    </w:p>
    <w:p w14:paraId="319A8484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0FDA9306" w14:textId="6D3AEFE4" w:rsidR="008C4D23" w:rsidRPr="00E14939" w:rsidRDefault="003C17F0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Á</w:t>
      </w:r>
      <w:r w:rsidR="008C4D23" w:rsidRPr="00E14939">
        <w:rPr>
          <w:rFonts w:ascii="Agency FB" w:hAnsi="Agency FB"/>
          <w:sz w:val="24"/>
          <w:szCs w:val="24"/>
        </w:rPr>
        <w:t>reas escolares</w:t>
      </w:r>
    </w:p>
    <w:p w14:paraId="4F470334" w14:textId="1ADEFA5C" w:rsidR="008C4D23" w:rsidRPr="00E14939" w:rsidRDefault="003C17F0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C</w:t>
      </w:r>
      <w:r w:rsidR="008C4D23" w:rsidRPr="00E14939">
        <w:rPr>
          <w:rFonts w:ascii="Agency FB" w:hAnsi="Agency FB"/>
          <w:sz w:val="24"/>
          <w:szCs w:val="24"/>
        </w:rPr>
        <w:t>ruzamentos perigosos</w:t>
      </w:r>
    </w:p>
    <w:p w14:paraId="7252BA4E" w14:textId="032E9ADA" w:rsidR="008C4D23" w:rsidRPr="00E14939" w:rsidRDefault="003C17F0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V</w:t>
      </w:r>
      <w:r w:rsidR="008C4D23" w:rsidRPr="00E14939">
        <w:rPr>
          <w:rFonts w:ascii="Agency FB" w:hAnsi="Agency FB"/>
          <w:sz w:val="24"/>
          <w:szCs w:val="24"/>
        </w:rPr>
        <w:t>ias com alto índice de sinistros</w:t>
      </w:r>
    </w:p>
    <w:p w14:paraId="6AC2290F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0C9E3D40" w14:textId="1E33436E" w:rsidR="008C4D23" w:rsidRPr="00E14939" w:rsidRDefault="008C4D23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Art. 3º</w:t>
      </w:r>
      <w:r w:rsidR="003C17F0" w:rsidRPr="00E14939">
        <w:rPr>
          <w:rFonts w:ascii="Agency FB" w:hAnsi="Agency FB"/>
          <w:sz w:val="24"/>
          <w:szCs w:val="24"/>
        </w:rPr>
        <w:t xml:space="preserve"> - </w:t>
      </w:r>
      <w:r w:rsidRPr="00E14939">
        <w:rPr>
          <w:rFonts w:ascii="Agency FB" w:hAnsi="Agency FB"/>
          <w:sz w:val="24"/>
          <w:szCs w:val="24"/>
        </w:rPr>
        <w:t>100% da receita de multas deverá ser aplicada em:</w:t>
      </w:r>
    </w:p>
    <w:p w14:paraId="2DA06E2F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7EAFC1CF" w14:textId="554E6986" w:rsidR="008C4D23" w:rsidRPr="00E14939" w:rsidRDefault="008C4D23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 xml:space="preserve">I – </w:t>
      </w:r>
      <w:r w:rsidR="003C17F0" w:rsidRPr="00E14939">
        <w:rPr>
          <w:rFonts w:ascii="Agency FB" w:hAnsi="Agency FB"/>
          <w:sz w:val="24"/>
          <w:szCs w:val="24"/>
        </w:rPr>
        <w:t>S</w:t>
      </w:r>
      <w:r w:rsidRPr="00E14939">
        <w:rPr>
          <w:rFonts w:ascii="Agency FB" w:hAnsi="Agency FB"/>
          <w:sz w:val="24"/>
          <w:szCs w:val="24"/>
        </w:rPr>
        <w:t>egurança viária;</w:t>
      </w:r>
    </w:p>
    <w:p w14:paraId="37AB2001" w14:textId="0E3E89F7" w:rsidR="008C4D23" w:rsidRPr="00E14939" w:rsidRDefault="008C4D23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 xml:space="preserve">II – </w:t>
      </w:r>
      <w:r w:rsidR="003C17F0" w:rsidRPr="00E14939">
        <w:rPr>
          <w:rFonts w:ascii="Agency FB" w:hAnsi="Agency FB"/>
          <w:sz w:val="24"/>
          <w:szCs w:val="24"/>
        </w:rPr>
        <w:t>S</w:t>
      </w:r>
      <w:r w:rsidRPr="00E14939">
        <w:rPr>
          <w:rFonts w:ascii="Agency FB" w:hAnsi="Agency FB"/>
          <w:sz w:val="24"/>
          <w:szCs w:val="24"/>
        </w:rPr>
        <w:t>inalização;</w:t>
      </w:r>
    </w:p>
    <w:p w14:paraId="3AF79F4E" w14:textId="71305088" w:rsidR="008C4D23" w:rsidRPr="00E14939" w:rsidRDefault="008C4D23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 xml:space="preserve">III – </w:t>
      </w:r>
      <w:r w:rsidR="003C17F0" w:rsidRPr="00E14939">
        <w:rPr>
          <w:rFonts w:ascii="Agency FB" w:hAnsi="Agency FB"/>
          <w:sz w:val="24"/>
          <w:szCs w:val="24"/>
        </w:rPr>
        <w:t>E</w:t>
      </w:r>
      <w:r w:rsidRPr="00E14939">
        <w:rPr>
          <w:rFonts w:ascii="Agency FB" w:hAnsi="Agency FB"/>
          <w:sz w:val="24"/>
          <w:szCs w:val="24"/>
        </w:rPr>
        <w:t>ducação no trânsito.</w:t>
      </w:r>
    </w:p>
    <w:p w14:paraId="48A73E1D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171DF79E" w14:textId="73B125B0" w:rsidR="00693332" w:rsidRPr="00E14939" w:rsidRDefault="00693332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Art. 4° - Esta Lei entra em vigor em 90 (noventa) dias após a sua publicação.</w:t>
      </w:r>
    </w:p>
    <w:p w14:paraId="5306C303" w14:textId="1DE7BCAF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45743A2F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351D2DBD" w14:textId="77777777" w:rsidR="00B11B6A" w:rsidRPr="00E14939" w:rsidRDefault="00B11B6A" w:rsidP="008C4D23">
      <w:pPr>
        <w:rPr>
          <w:rFonts w:ascii="Agency FB" w:hAnsi="Agency FB"/>
          <w:sz w:val="24"/>
          <w:szCs w:val="24"/>
        </w:rPr>
      </w:pPr>
    </w:p>
    <w:p w14:paraId="6808E24C" w14:textId="77777777" w:rsidR="00B11B6A" w:rsidRPr="00E14939" w:rsidRDefault="00B11B6A" w:rsidP="008C4D23">
      <w:pPr>
        <w:rPr>
          <w:rFonts w:ascii="Agency FB" w:hAnsi="Agency FB"/>
          <w:sz w:val="24"/>
          <w:szCs w:val="24"/>
        </w:rPr>
      </w:pPr>
    </w:p>
    <w:p w14:paraId="6B73DE6A" w14:textId="77777777" w:rsidR="00B11B6A" w:rsidRPr="00E14939" w:rsidRDefault="00B11B6A" w:rsidP="003C17F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49819AE5" w14:textId="77777777" w:rsidR="00B11B6A" w:rsidRPr="00E14939" w:rsidRDefault="00B11B6A" w:rsidP="003C17F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47F522D8" w14:textId="77777777" w:rsidR="00B11B6A" w:rsidRPr="00E14939" w:rsidRDefault="00B11B6A" w:rsidP="003C17F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6759DE51" w14:textId="77777777" w:rsidR="00E14939" w:rsidRDefault="00E14939" w:rsidP="003C17F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4D334B13" w14:textId="77777777" w:rsidR="00E14939" w:rsidRDefault="00E14939" w:rsidP="003C17F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37FBB485" w14:textId="77777777" w:rsidR="00E14939" w:rsidRDefault="00E14939" w:rsidP="003C17F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66DC9B76" w14:textId="77777777" w:rsidR="00E14939" w:rsidRDefault="00E14939" w:rsidP="003C17F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47E56074" w14:textId="77777777" w:rsidR="00E14939" w:rsidRDefault="00E14939" w:rsidP="003C17F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5F945F13" w14:textId="77777777" w:rsidR="00E14939" w:rsidRDefault="00E14939" w:rsidP="003C17F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16E8ECBA" w14:textId="45B22DD0" w:rsidR="008C4D23" w:rsidRPr="00E14939" w:rsidRDefault="008C4D23" w:rsidP="003C17F0">
      <w:pPr>
        <w:jc w:val="center"/>
        <w:rPr>
          <w:rFonts w:ascii="Agency FB" w:hAnsi="Agency FB"/>
          <w:b/>
          <w:bCs/>
          <w:sz w:val="24"/>
          <w:szCs w:val="24"/>
        </w:rPr>
      </w:pPr>
      <w:r w:rsidRPr="00E14939">
        <w:rPr>
          <w:rFonts w:ascii="Agency FB" w:hAnsi="Agency FB"/>
          <w:b/>
          <w:bCs/>
          <w:sz w:val="24"/>
          <w:szCs w:val="24"/>
        </w:rPr>
        <w:lastRenderedPageBreak/>
        <w:t>JUSTIFICATIVA</w:t>
      </w:r>
    </w:p>
    <w:p w14:paraId="00CE5246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00A8B9F5" w14:textId="3640E769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1. Do Espírito da Lei: A Vida sobre a Arrecadação</w:t>
      </w:r>
    </w:p>
    <w:p w14:paraId="63F289E6" w14:textId="63CE6B8E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A presente proposição fundamenta-se no princípio constitucional da dignidade da pessoa humana e no direito à segurança, conforme preconiza o Art. 144, §10, da Constituição Federal. O objetivo central é desmistificar a percepção social da "indústria da multa", reafirmando que o Estado deve atuar como um agente protetor, e não meramente arrecadador. Ao estabelecer que a fiscalização eletrônica foca na preservação da vida, o município de Ananindeua alinha-se às diretrizes da Organização Mundial da Saúde (OMS) e ao Plano Nacional de Redução de Mortes e Lesões no Trânsito (PNATRANS).</w:t>
      </w:r>
    </w:p>
    <w:p w14:paraId="6AA1289A" w14:textId="61ED55B1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2. Critérios Técnicos e Seletividade (Art. 2º)</w:t>
      </w:r>
    </w:p>
    <w:p w14:paraId="439F7E67" w14:textId="535A0C7C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 xml:space="preserve">A instalação de radares e câmeras não deve ser aleatória. Ao priorizar áreas escolares, protegemos o público mais vulnerável (crianças e adolescentes). Já o foco em </w:t>
      </w:r>
      <w:r w:rsidRPr="00E14939">
        <w:rPr>
          <w:rFonts w:ascii="Agency FB" w:hAnsi="Agency FB"/>
          <w:sz w:val="24"/>
          <w:szCs w:val="24"/>
        </w:rPr>
        <w:t>“</w:t>
      </w:r>
      <w:r w:rsidRPr="00E14939">
        <w:rPr>
          <w:rFonts w:ascii="Agency FB" w:hAnsi="Agency FB"/>
          <w:sz w:val="24"/>
          <w:szCs w:val="24"/>
        </w:rPr>
        <w:t>cruzamentos perigosos</w:t>
      </w:r>
      <w:r w:rsidRPr="00E14939">
        <w:rPr>
          <w:rFonts w:ascii="Agency FB" w:hAnsi="Agency FB"/>
          <w:sz w:val="24"/>
          <w:szCs w:val="24"/>
        </w:rPr>
        <w:t>”</w:t>
      </w:r>
      <w:r w:rsidRPr="00E14939">
        <w:rPr>
          <w:rFonts w:ascii="Agency FB" w:hAnsi="Agency FB"/>
          <w:sz w:val="24"/>
          <w:szCs w:val="24"/>
        </w:rPr>
        <w:t xml:space="preserve"> e </w:t>
      </w:r>
      <w:r w:rsidRPr="00E14939">
        <w:rPr>
          <w:rFonts w:ascii="Agency FB" w:hAnsi="Agency FB"/>
          <w:sz w:val="24"/>
          <w:szCs w:val="24"/>
        </w:rPr>
        <w:t>“</w:t>
      </w:r>
      <w:r w:rsidRPr="00E14939">
        <w:rPr>
          <w:rFonts w:ascii="Agency FB" w:hAnsi="Agency FB"/>
          <w:sz w:val="24"/>
          <w:szCs w:val="24"/>
        </w:rPr>
        <w:t>vias com alto índice de sinistros</w:t>
      </w:r>
      <w:r w:rsidRPr="00E14939">
        <w:rPr>
          <w:rFonts w:ascii="Agency FB" w:hAnsi="Agency FB"/>
          <w:sz w:val="24"/>
          <w:szCs w:val="24"/>
        </w:rPr>
        <w:t>”</w:t>
      </w:r>
      <w:r w:rsidRPr="00E14939">
        <w:rPr>
          <w:rFonts w:ascii="Agency FB" w:hAnsi="Agency FB"/>
          <w:sz w:val="24"/>
          <w:szCs w:val="24"/>
        </w:rPr>
        <w:t xml:space="preserve"> garante que a tecnologia seja aplicada onde o risco de morte é estatisticamente comprovado. Isso traz eficiência administrativa, alocando recursos públicos onde eles são verdadeiramente necessários para reduzir os gastos com saúde pública decorrentes de acidentes de trânsito.</w:t>
      </w:r>
    </w:p>
    <w:p w14:paraId="58C102D1" w14:textId="11D13EBD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3. Transparência e Destinação de Recursos (Art. 3º)</w:t>
      </w:r>
    </w:p>
    <w:p w14:paraId="7F95FE1D" w14:textId="7588EFFE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 xml:space="preserve">O Art. 3º desta Lei reforça o que já prevê o Art. 320 do Código de Trânsito Brasileiro (CTB), mas de forma vinculada e transparente no âmbito municipal. Ao determinar que </w:t>
      </w:r>
      <w:r w:rsidRPr="00E14939">
        <w:rPr>
          <w:rFonts w:ascii="Agency FB" w:hAnsi="Agency FB"/>
          <w:sz w:val="24"/>
          <w:szCs w:val="24"/>
        </w:rPr>
        <w:t>“</w:t>
      </w:r>
      <w:r w:rsidRPr="00E14939">
        <w:rPr>
          <w:rFonts w:ascii="Agency FB" w:hAnsi="Agency FB"/>
          <w:sz w:val="24"/>
          <w:szCs w:val="24"/>
        </w:rPr>
        <w:t>100% da receita</w:t>
      </w:r>
      <w:r w:rsidRPr="00E14939">
        <w:rPr>
          <w:rFonts w:ascii="Agency FB" w:hAnsi="Agency FB"/>
          <w:sz w:val="24"/>
          <w:szCs w:val="24"/>
        </w:rPr>
        <w:t>”</w:t>
      </w:r>
      <w:r w:rsidRPr="00E14939">
        <w:rPr>
          <w:rFonts w:ascii="Agency FB" w:hAnsi="Agency FB"/>
          <w:sz w:val="24"/>
          <w:szCs w:val="24"/>
        </w:rPr>
        <w:t xml:space="preserve"> seja revertida para segurança, sinalização e educação, o Poder Público demonstra responsabilidade fiscal e social.</w:t>
      </w:r>
    </w:p>
    <w:p w14:paraId="384297D8" w14:textId="698B0D26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Educação no Trânsito: É o pilar que evita a reincidência.</w:t>
      </w:r>
    </w:p>
    <w:p w14:paraId="6DC8164D" w14:textId="6D7506A7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Sinalização: Garante que o condutor não seja induzido ao erro.</w:t>
      </w:r>
    </w:p>
    <w:p w14:paraId="300C8A33" w14:textId="7857ECFC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Segurança Viária: Engloba a melhoria da malha asfáltica e infraestrutura de proteção.</w:t>
      </w:r>
    </w:p>
    <w:p w14:paraId="6C1E94AD" w14:textId="50B832CD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4. Impacto Social e Econômico</w:t>
      </w:r>
    </w:p>
    <w:p w14:paraId="6C3A9BFE" w14:textId="3EC04F56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 xml:space="preserve">A implementação desta norma reduzirá o impacto nos hospitais municipais e de referência na região (como o Hospital Metropolitano), uma vez que a fiscalização educativa e </w:t>
      </w:r>
      <w:r w:rsidRPr="00E14939">
        <w:rPr>
          <w:rFonts w:ascii="Agency FB" w:hAnsi="Agency FB"/>
          <w:sz w:val="24"/>
          <w:szCs w:val="24"/>
        </w:rPr>
        <w:t>bem-sinalizada</w:t>
      </w:r>
      <w:r w:rsidRPr="00E14939">
        <w:rPr>
          <w:rFonts w:ascii="Agency FB" w:hAnsi="Agency FB"/>
          <w:sz w:val="24"/>
          <w:szCs w:val="24"/>
        </w:rPr>
        <w:t xml:space="preserve"> diminui drasticamente o número de colisões e atropelamentos. </w:t>
      </w:r>
      <w:r w:rsidR="00894B9D">
        <w:rPr>
          <w:rFonts w:ascii="Agency FB" w:hAnsi="Agency FB"/>
          <w:sz w:val="24"/>
          <w:szCs w:val="24"/>
        </w:rPr>
        <w:t xml:space="preserve">O período </w:t>
      </w:r>
      <w:r w:rsidRPr="00E14939">
        <w:rPr>
          <w:rFonts w:ascii="Agency FB" w:hAnsi="Agency FB"/>
          <w:sz w:val="24"/>
          <w:szCs w:val="24"/>
        </w:rPr>
        <w:t>de 90 dias prevista no Art. 4º é o prazo razoável para que o Executivo e os órgãos de trânsito (SEMUTRAN) se adequem às novas diretrizes de planejamento.</w:t>
      </w:r>
    </w:p>
    <w:p w14:paraId="730EAD9E" w14:textId="77777777" w:rsidR="00E14939" w:rsidRPr="00E14939" w:rsidRDefault="00E14939" w:rsidP="00E14939">
      <w:pPr>
        <w:jc w:val="both"/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Portanto, submeto este Projeto de Lei aos meus pares, certo de que a aprovação desta medida transformará Ananindeua em uma referência de gestão de trânsito moderna, ética e, acima de tudo, comprometida com a integridade física de seus cidadãos.</w:t>
      </w:r>
    </w:p>
    <w:p w14:paraId="515ACB91" w14:textId="77777777" w:rsidR="003C17F0" w:rsidRPr="00E14939" w:rsidRDefault="003C17F0" w:rsidP="008C4D23">
      <w:pPr>
        <w:rPr>
          <w:rFonts w:ascii="Agency FB" w:hAnsi="Agency FB"/>
          <w:sz w:val="24"/>
          <w:szCs w:val="24"/>
        </w:rPr>
      </w:pPr>
    </w:p>
    <w:p w14:paraId="70399342" w14:textId="70CDE684" w:rsidR="008C4D23" w:rsidRPr="00E14939" w:rsidRDefault="008C4D23" w:rsidP="008C4D23">
      <w:pPr>
        <w:rPr>
          <w:rFonts w:ascii="Agency FB" w:hAnsi="Agency FB"/>
          <w:sz w:val="24"/>
          <w:szCs w:val="24"/>
        </w:rPr>
      </w:pPr>
      <w:r w:rsidRPr="00E14939">
        <w:rPr>
          <w:rFonts w:ascii="Agency FB" w:hAnsi="Agency FB"/>
          <w:sz w:val="24"/>
          <w:szCs w:val="24"/>
        </w:rPr>
        <w:t>Ananindeua, 31 de março de 2026.</w:t>
      </w:r>
    </w:p>
    <w:p w14:paraId="42C9366F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3C3A2840" w14:textId="77777777" w:rsidR="008C4D23" w:rsidRPr="00E14939" w:rsidRDefault="008C4D23" w:rsidP="008C4D23">
      <w:pPr>
        <w:rPr>
          <w:rFonts w:ascii="Agency FB" w:hAnsi="Agency FB"/>
          <w:sz w:val="24"/>
          <w:szCs w:val="24"/>
        </w:rPr>
      </w:pPr>
    </w:p>
    <w:p w14:paraId="1E26F69E" w14:textId="77777777" w:rsidR="008C4D23" w:rsidRPr="00E14939" w:rsidRDefault="008C4D23" w:rsidP="008C4D23">
      <w:pPr>
        <w:pStyle w:val="Cabealho"/>
        <w:spacing w:line="276" w:lineRule="auto"/>
        <w:jc w:val="center"/>
        <w:rPr>
          <w:rFonts w:ascii="Agency FB" w:hAnsi="Agency FB" w:cstheme="majorHAnsi"/>
          <w:sz w:val="24"/>
          <w:szCs w:val="24"/>
        </w:rPr>
      </w:pPr>
      <w:r w:rsidRPr="00E14939">
        <w:rPr>
          <w:rFonts w:ascii="Agency FB" w:hAnsi="Agency FB" w:cstheme="majorHAnsi"/>
          <w:b/>
          <w:bCs/>
          <w:sz w:val="24"/>
          <w:szCs w:val="24"/>
        </w:rPr>
        <w:t xml:space="preserve">VEREADORA </w:t>
      </w:r>
      <w:proofErr w:type="spellStart"/>
      <w:r w:rsidRPr="00E14939">
        <w:rPr>
          <w:rFonts w:ascii="Agency FB" w:hAnsi="Agency FB" w:cstheme="majorHAnsi"/>
          <w:b/>
          <w:bCs/>
          <w:sz w:val="24"/>
          <w:szCs w:val="24"/>
        </w:rPr>
        <w:t>PROFª</w:t>
      </w:r>
      <w:proofErr w:type="spellEnd"/>
      <w:r w:rsidRPr="00E14939">
        <w:rPr>
          <w:rFonts w:ascii="Agency FB" w:hAnsi="Agency FB" w:cstheme="majorHAnsi"/>
          <w:b/>
          <w:bCs/>
          <w:sz w:val="24"/>
          <w:szCs w:val="24"/>
        </w:rPr>
        <w:t xml:space="preserve"> LEILA FREIRE </w:t>
      </w:r>
    </w:p>
    <w:p w14:paraId="71F08C55" w14:textId="5A1045ED" w:rsidR="005D0721" w:rsidRPr="00E14939" w:rsidRDefault="008C4D23" w:rsidP="00E14939">
      <w:pPr>
        <w:pStyle w:val="Standard"/>
        <w:spacing w:line="276" w:lineRule="auto"/>
        <w:jc w:val="center"/>
      </w:pPr>
      <w:r w:rsidRPr="00E14939">
        <w:rPr>
          <w:rFonts w:ascii="Agency FB" w:hAnsi="Agency FB" w:cstheme="majorHAnsi"/>
          <w:noProof/>
        </w:rPr>
        <w:drawing>
          <wp:inline distT="0" distB="0" distL="0" distR="0" wp14:anchorId="04BE3491" wp14:editId="0FF34139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0721" w:rsidRPr="00E14939" w:rsidSect="008C4D23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38227" w14:textId="77777777" w:rsidR="00AE7423" w:rsidRDefault="00AE7423">
      <w:pPr>
        <w:spacing w:line="240" w:lineRule="auto"/>
      </w:pPr>
      <w:r>
        <w:separator/>
      </w:r>
    </w:p>
  </w:endnote>
  <w:endnote w:type="continuationSeparator" w:id="0">
    <w:p w14:paraId="7CF408F4" w14:textId="77777777" w:rsidR="00AE7423" w:rsidRDefault="00AE74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3EAF4" w14:textId="77777777" w:rsidR="00AE7423" w:rsidRDefault="00AE7423">
      <w:pPr>
        <w:spacing w:line="240" w:lineRule="auto"/>
      </w:pPr>
      <w:r>
        <w:separator/>
      </w:r>
    </w:p>
  </w:footnote>
  <w:footnote w:type="continuationSeparator" w:id="0">
    <w:p w14:paraId="5ECD1AE0" w14:textId="77777777" w:rsidR="00AE7423" w:rsidRDefault="00AE74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9D112" w14:textId="77777777" w:rsidR="008C4D23" w:rsidRDefault="008C4D23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5EE2808A" wp14:editId="326A0726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28A10E8E" wp14:editId="45B81795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426D793C" wp14:editId="7CD0BEEC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D23"/>
    <w:rsid w:val="002F5A22"/>
    <w:rsid w:val="003274AF"/>
    <w:rsid w:val="003C17F0"/>
    <w:rsid w:val="00474B4E"/>
    <w:rsid w:val="004F4563"/>
    <w:rsid w:val="005D0721"/>
    <w:rsid w:val="006635BB"/>
    <w:rsid w:val="00693332"/>
    <w:rsid w:val="007D65D0"/>
    <w:rsid w:val="00894B9D"/>
    <w:rsid w:val="008C4D23"/>
    <w:rsid w:val="00A9559D"/>
    <w:rsid w:val="00AB778A"/>
    <w:rsid w:val="00AE7423"/>
    <w:rsid w:val="00B11B6A"/>
    <w:rsid w:val="00BD1F9F"/>
    <w:rsid w:val="00D27DDF"/>
    <w:rsid w:val="00D853C4"/>
    <w:rsid w:val="00E14939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34BB7"/>
  <w15:chartTrackingRefBased/>
  <w15:docId w15:val="{69CB4872-6D22-4C2F-B2CE-9D6BE13AA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D23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C4D2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C4D2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C4D2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C4D2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C4D2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C4D2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C4D2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C4D2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C4D2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C4D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C4D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C4D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C4D2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C4D2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C4D2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C4D2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C4D2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C4D2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C4D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C4D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C4D2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C4D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C4D23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C4D2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C4D23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C4D2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C4D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C4D2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C4D2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8C4D2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8C4D23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8C4D2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517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7</cp:revision>
  <dcterms:created xsi:type="dcterms:W3CDTF">2026-03-30T13:51:00Z</dcterms:created>
  <dcterms:modified xsi:type="dcterms:W3CDTF">2026-04-17T14:03:00Z</dcterms:modified>
</cp:coreProperties>
</file>