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3E742D" w:rsidRDefault="008E0BD6" w:rsidP="004D122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52CBDA" w14:textId="1687C3E3" w:rsidR="00FA6FB7" w:rsidRPr="003E742D" w:rsidRDefault="00C0701E" w:rsidP="004D1225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3E742D">
        <w:rPr>
          <w:rFonts w:asciiTheme="majorHAnsi" w:hAnsiTheme="majorHAnsi" w:cstheme="majorHAnsi"/>
          <w:b/>
          <w:bCs/>
          <w:sz w:val="24"/>
          <w:szCs w:val="24"/>
        </w:rPr>
        <w:t>PROJETO DE LEI _________/2026.</w:t>
      </w:r>
    </w:p>
    <w:p w14:paraId="6F70006A" w14:textId="77777777" w:rsidR="00105931" w:rsidRPr="003E742D" w:rsidRDefault="00105931" w:rsidP="004D1225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595D3F09" w14:textId="7EEC4D97" w:rsidR="004D1225" w:rsidRPr="004D1225" w:rsidRDefault="004D1225" w:rsidP="004D1225">
      <w:pPr>
        <w:pStyle w:val="Standard"/>
        <w:spacing w:line="276" w:lineRule="auto"/>
        <w:ind w:left="4395"/>
        <w:jc w:val="both"/>
        <w:rPr>
          <w:rFonts w:asciiTheme="majorHAnsi" w:hAnsiTheme="majorHAnsi" w:cstheme="majorHAnsi"/>
        </w:rPr>
      </w:pPr>
      <w:r w:rsidRPr="004D1225">
        <w:rPr>
          <w:rFonts w:asciiTheme="majorHAnsi" w:hAnsiTheme="majorHAnsi" w:cstheme="majorHAnsi"/>
        </w:rPr>
        <w:t>Institui a Política Municipal de Atenção Integral, Reabilitação e Inclusão de Pessoas com Cegueira ou Baixa Visão no Município de Ananindeua, e dá outras providências.</w:t>
      </w:r>
    </w:p>
    <w:p w14:paraId="69481F06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1E6A946" w14:textId="77777777" w:rsidR="004D1225" w:rsidRPr="003E742D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E742D">
        <w:rPr>
          <w:rFonts w:asciiTheme="majorHAnsi" w:hAnsiTheme="majorHAnsi" w:cstheme="majorHAnsi"/>
          <w:sz w:val="24"/>
          <w:szCs w:val="24"/>
        </w:rPr>
        <w:t>Câmara Municipal de Ananindeua, Estado do Pará, no uso de suas atribuições legais e regimentais, faz saber que o Plenário aprovou e o Prefeito sanciona a seguinte lei:</w:t>
      </w:r>
    </w:p>
    <w:p w14:paraId="2638063A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</w:t>
      </w:r>
    </w:p>
    <w:p w14:paraId="4768D247" w14:textId="60793D78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CAPÍTULO I</w:t>
      </w:r>
    </w:p>
    <w:p w14:paraId="1B57BC78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​DAS DISPOSIÇÕES PRELIMINARES E DIRETRIZES</w:t>
      </w:r>
    </w:p>
    <w:p w14:paraId="7B0F49A7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905435D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1º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Fica instituída a Política Municipal de Atenção Integral, Reabilitação e Inclusão de Pessoas com Cegueira ou Baixa Visão, com o objetivo de assegurar o diagnóstico precoce, o tratamento de saúde adequado, a reabilitação visual e a autonomia social dos munícipes acometidos por estas condições.</w:t>
      </w:r>
    </w:p>
    <w:p w14:paraId="7A212EB1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DF31DF9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2º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São diretrizes desta Política:</w:t>
      </w:r>
    </w:p>
    <w:p w14:paraId="0A1E214D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5AF500D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A universalidade do acesso aos serviços públicos de saúde oftalmológica e reabilitação no âmbito do município;</w:t>
      </w:r>
    </w:p>
    <w:p w14:paraId="07F0416F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O estímulo à detecção e intervenção precoces de patologias que possam evoluir para a perda total ou parcial da visão;</w:t>
      </w:r>
    </w:p>
    <w:p w14:paraId="6B70245D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A garantia de acessibilidade urbana, arquitetônica e comunicacional nos órgãos públicos municipais;</w:t>
      </w:r>
    </w:p>
    <w:p w14:paraId="74695A6A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IV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O apoio psicossocial contínuo ao paciente e aos seus familiares ou cuidadores.</w:t>
      </w:r>
    </w:p>
    <w:p w14:paraId="5DD09EFD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025956B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​CAPÍTULO II</w:t>
      </w:r>
    </w:p>
    <w:p w14:paraId="71CCDB15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​DAS AÇÕES DE SAÚDE E DIAGNÓSTICO PRECOCE</w:t>
      </w:r>
    </w:p>
    <w:p w14:paraId="1523DABE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B457BAB" w14:textId="5A3657A2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3º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O Poder Executivo Municipal, por meio da Secretaria Municipal de Saúde (SESAU), intensificará as ações de rastreamento visual na rede pública de ensino e nas Unidades Básicas de Saúde (UBS), com foco em:</w:t>
      </w:r>
    </w:p>
    <w:p w14:paraId="158FF8CC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lastRenderedPageBreak/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 xml:space="preserve">I </w:t>
      </w:r>
      <w:r w:rsidRPr="004D1225">
        <w:rPr>
          <w:rFonts w:asciiTheme="majorHAnsi" w:hAnsiTheme="majorHAnsi" w:cstheme="majorHAnsi"/>
          <w:sz w:val="24"/>
          <w:szCs w:val="24"/>
        </w:rPr>
        <w:t>- Realização periódica do "Teste do Olhinho" (Teste do Reflexo Vermelho) em recém-nascidos e lactentes;</w:t>
      </w:r>
    </w:p>
    <w:p w14:paraId="2660737C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Campanhas de triagem oftalmológica nas escolas municipais para identificação de erros refrativos e patologias oculares na infância;</w:t>
      </w:r>
    </w:p>
    <w:p w14:paraId="4136522B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Monitoramento e tratamento prioritário de pacientes com condições crônicas que causam cegueira evitável, tais como o Glaucoma, a Retinopatia Diabética e a Catarata.</w:t>
      </w:r>
    </w:p>
    <w:p w14:paraId="501C1EFC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73A26A8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Fica assegurado o fornecimento gratuito, conforme avaliação clínica e critérios socioeconômicos, de medicamentos de uso contínuo para o controle do glaucoma e outras doenças oculares degenerativas.</w:t>
      </w:r>
    </w:p>
    <w:p w14:paraId="4E0EDCCD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08CECB6" w14:textId="4A698B39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CAPÍTULO III</w:t>
      </w:r>
    </w:p>
    <w:p w14:paraId="4A207919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​DA REABILITAÇÃO, AUTONOMIA E INCLUSÃO SOCIAL</w:t>
      </w:r>
    </w:p>
    <w:p w14:paraId="5AD29470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B957D27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​Art. 5º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O Município buscará estruturar ou firmar parcerias com centros de reabilitação e entidades filantrópicas especializadas para oferecer serviços gratuitos de:</w:t>
      </w:r>
    </w:p>
    <w:p w14:paraId="0C8D018B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39DA2DA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 xml:space="preserve">I </w:t>
      </w:r>
      <w:r w:rsidRPr="004D1225">
        <w:rPr>
          <w:rFonts w:asciiTheme="majorHAnsi" w:hAnsiTheme="majorHAnsi" w:cstheme="majorHAnsi"/>
          <w:sz w:val="24"/>
          <w:szCs w:val="24"/>
        </w:rPr>
        <w:t>- Estimulação precoce para crianças cegas ou com baixa visão;</w:t>
      </w:r>
    </w:p>
    <w:p w14:paraId="0FAB655A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Treinamento de Orientação e Mobilidade (OM), visando o uso seguro e independente da bengala longa;</w:t>
      </w:r>
    </w:p>
    <w:p w14:paraId="0B556A14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Atividades de Vida Diária (AVD), capacitando o indivíduo para a autonomia doméstica e cuidados pessoais;</w:t>
      </w:r>
    </w:p>
    <w:p w14:paraId="51083E45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 xml:space="preserve">IV </w:t>
      </w:r>
      <w:r w:rsidRPr="004D1225">
        <w:rPr>
          <w:rFonts w:asciiTheme="majorHAnsi" w:hAnsiTheme="majorHAnsi" w:cstheme="majorHAnsi"/>
          <w:sz w:val="24"/>
          <w:szCs w:val="24"/>
        </w:rPr>
        <w:t>- Ensino do Sistema Braille, uso de soroban (</w:t>
      </w:r>
      <w:proofErr w:type="spellStart"/>
      <w:r w:rsidRPr="004D1225">
        <w:rPr>
          <w:rFonts w:asciiTheme="majorHAnsi" w:hAnsiTheme="majorHAnsi" w:cstheme="majorHAnsi"/>
          <w:sz w:val="24"/>
          <w:szCs w:val="24"/>
        </w:rPr>
        <w:t>álbaco</w:t>
      </w:r>
      <w:proofErr w:type="spellEnd"/>
      <w:r w:rsidRPr="004D1225">
        <w:rPr>
          <w:rFonts w:asciiTheme="majorHAnsi" w:hAnsiTheme="majorHAnsi" w:cstheme="majorHAnsi"/>
          <w:sz w:val="24"/>
          <w:szCs w:val="24"/>
        </w:rPr>
        <w:t xml:space="preserve"> adaptado) e introdução a tecnologias assistivas (softwares de leitura de tela e aplicativos de acessibilidade).</w:t>
      </w:r>
    </w:p>
    <w:p w14:paraId="4449C42B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CF77D10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6º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Para garantir a segurança e a inclusão urbana das pessoas com cegueira, o Poder Executivo deverá, gradativamente:</w:t>
      </w:r>
    </w:p>
    <w:p w14:paraId="22D1A229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B7E8206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Instalar pisos táteis de alerta e de direcional nas calçadas de prédios públicos, praças e principais vias comerciais;</w:t>
      </w:r>
    </w:p>
    <w:p w14:paraId="0050EC3B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Implantar sinais sonoros nos semáforos de cruzamentos de grande fluxo de pedestres;</w:t>
      </w:r>
    </w:p>
    <w:p w14:paraId="354455D4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III</w:t>
      </w:r>
      <w:r w:rsidRPr="004D1225">
        <w:rPr>
          <w:rFonts w:asciiTheme="majorHAnsi" w:hAnsiTheme="majorHAnsi" w:cstheme="majorHAnsi"/>
          <w:sz w:val="24"/>
          <w:szCs w:val="24"/>
        </w:rPr>
        <w:t xml:space="preserve"> - Garantir que os canais de atendimento digital da Prefeitura e da Câmara Municipal estejam em total conformidade com os padrões internacionais de acessibilidade na web.</w:t>
      </w:r>
    </w:p>
    <w:p w14:paraId="199D7CEF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616199B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1EE7D3A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9CEAB46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lastRenderedPageBreak/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CAPÍTULO IV</w:t>
      </w:r>
    </w:p>
    <w:p w14:paraId="07049AF9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​DO APOIO AO CÃO-GUIA E DIREITOS DE ACESSO</w:t>
      </w:r>
    </w:p>
    <w:p w14:paraId="3BF9FAFC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855F566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​Art. 7º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Fica reiterado, no âmbito do Município de Ananindeua, o direito da pessoa com deficiência visual de ingressar e permanecer acompanhada de seu cão-guia em todos os ambientes coletivos, sejam públicos ou privados, incluindo estabelecimentos comerciais e meios de transporte público municipal, vedada a cobrança de valores ou tarifas extras para este fim.</w:t>
      </w:r>
    </w:p>
    <w:p w14:paraId="54B42E9C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F6CE75F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CAPÍTULO V</w:t>
      </w:r>
    </w:p>
    <w:p w14:paraId="631CA411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​DAS DISPOSIÇÕES FINAIS</w:t>
      </w:r>
    </w:p>
    <w:p w14:paraId="289E91EB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E42BBA2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b/>
          <w:bCs/>
          <w:sz w:val="24"/>
          <w:szCs w:val="24"/>
        </w:rPr>
        <w:t>​Art. 8º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O Poder Executivo poderá instituir o "Fórum Municipal de Discussão sobre Deficiência Visual", a ser realizado anualmente, reunindo profissionais de saúde, educadores, familiares e associações civis para avaliar a eficácia das políticas implementadas.</w:t>
      </w:r>
    </w:p>
    <w:p w14:paraId="3EBB6A6C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31FEC8A" w14:textId="669C52E3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9º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As despesas decorrentes da execução desta Lei correrão por conta de dotações orçamentárias próprias, suplementadas se necessário, ou mediante parcerias e convênios com as esferas Estadual e Federal.</w:t>
      </w:r>
    </w:p>
    <w:p w14:paraId="78882780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AC20B9F" w14:textId="5173E81C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Art. 10</w:t>
      </w:r>
      <w:r w:rsidRPr="004D1225">
        <w:rPr>
          <w:rFonts w:asciiTheme="majorHAnsi" w:hAnsiTheme="majorHAnsi" w:cstheme="majorHAnsi"/>
          <w:b/>
          <w:bCs/>
          <w:sz w:val="24"/>
          <w:szCs w:val="24"/>
        </w:rPr>
        <w:t>º</w:t>
      </w:r>
      <w:r w:rsidRPr="004D1225">
        <w:rPr>
          <w:rFonts w:asciiTheme="majorHAnsi" w:hAnsiTheme="majorHAnsi" w:cstheme="majorHAnsi"/>
          <w:sz w:val="24"/>
          <w:szCs w:val="24"/>
        </w:rPr>
        <w:t xml:space="preserve"> Esta Lei entra em vigor na data de sua publicação.</w:t>
      </w:r>
    </w:p>
    <w:p w14:paraId="0144DA63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EEACE49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4E941FD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488191A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F10EC95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4E712C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6A6D811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0A6DD2B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64F7A74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729C1B9" w14:textId="77777777" w:rsid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DDB70F4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106EE56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2357B9D" w14:textId="77777777" w:rsidR="004D1225" w:rsidRPr="003E742D" w:rsidRDefault="004D1225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8D4042F" w14:textId="77777777" w:rsidR="004D1225" w:rsidRPr="003E742D" w:rsidRDefault="004D1225" w:rsidP="004D122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E742D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08B16A3A" w14:textId="77777777" w:rsidR="004D1225" w:rsidRPr="003E742D" w:rsidRDefault="004D1225" w:rsidP="004D1225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E742D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3E742D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51F20FDD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EFE7516" w14:textId="77777777" w:rsidR="004D1225" w:rsidRDefault="004D1225" w:rsidP="004D1225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01D7AB59" w14:textId="0688F3D2" w:rsidR="004D1225" w:rsidRPr="003E742D" w:rsidRDefault="004D1225" w:rsidP="004D1225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>JUSTIFICATIVA</w:t>
      </w:r>
    </w:p>
    <w:p w14:paraId="0D19C0C1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00463B6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>​O presente Projeto de Lei nasce da necessidade premente de garantir que a perda da visão não signifique a exclusão social e a perda da dignidade. Em nosso município de Ananindeua, muitas pessoas enfrentam dificuldades que vão desde o diagnóstico tardio de doenças evitáveis até a falta de calçadas adaptadas e de centros especializados para o aprendizado de mobilidade e do Sistema Braille.</w:t>
      </w:r>
    </w:p>
    <w:p w14:paraId="33720E6A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99FD56B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D1225">
        <w:rPr>
          <w:rFonts w:asciiTheme="majorHAnsi" w:hAnsiTheme="majorHAnsi" w:cstheme="majorHAnsi"/>
          <w:sz w:val="24"/>
          <w:szCs w:val="24"/>
        </w:rPr>
        <w:t xml:space="preserve">​Oferecer reabilitação integral e ferramentas de autonomia é dever do Poder Público. Este projeto não apenas cuida da saúde física e do tratamento médico, mas foca no resgate da cidadania, permitindo que o cidadão cego estude, trabalhe, circule e viva de forma independente. </w:t>
      </w:r>
    </w:p>
    <w:p w14:paraId="43CB4CB4" w14:textId="77777777" w:rsidR="004D1225" w:rsidRPr="004D1225" w:rsidRDefault="004D1225" w:rsidP="004D122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4C7FAB0" w14:textId="3EA9C490" w:rsidR="003E742D" w:rsidRDefault="004D1225" w:rsidP="004D1225">
      <w:p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4D1225">
        <w:rPr>
          <w:rFonts w:asciiTheme="majorHAnsi" w:hAnsiTheme="majorHAnsi" w:cstheme="majorHAnsi"/>
          <w:sz w:val="24"/>
          <w:szCs w:val="24"/>
        </w:rPr>
        <w:t>Pela relevância social da matéria, submeto o projeto à aprovação desta Casa Legislativa</w:t>
      </w:r>
      <w:r w:rsidR="003E742D" w:rsidRPr="003E742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949D6DE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799C3A1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03B1F55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411E481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367B9AF6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7D04D2C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1FAB73C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61A4217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6C368FB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666CDA9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1E01B66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4E45E05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1B2190F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2FA12319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FAFE794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332A31A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AA0CE3B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85D49CB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51A2F61" w14:textId="77777777" w:rsidR="004D1225" w:rsidRDefault="004D1225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96E3A01" w14:textId="77777777" w:rsid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3844823D" w14:textId="77777777" w:rsidR="003E742D" w:rsidRPr="003E742D" w:rsidRDefault="003E742D" w:rsidP="004D1225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54EE2DF" w14:textId="77777777" w:rsidR="00122902" w:rsidRPr="003E742D" w:rsidRDefault="00122902" w:rsidP="004D122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E742D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E627900" w14:textId="77777777" w:rsidR="00122902" w:rsidRPr="003E742D" w:rsidRDefault="00122902" w:rsidP="004D1225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E742D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3E742D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sectPr w:rsidR="00122902" w:rsidRPr="003E742D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E417" w14:textId="77777777" w:rsidR="007F39EB" w:rsidRDefault="007F39EB" w:rsidP="00F16676">
      <w:pPr>
        <w:spacing w:after="0" w:line="240" w:lineRule="auto"/>
      </w:pPr>
      <w:r>
        <w:separator/>
      </w:r>
    </w:p>
  </w:endnote>
  <w:endnote w:type="continuationSeparator" w:id="0">
    <w:p w14:paraId="68B4341E" w14:textId="77777777" w:rsidR="007F39EB" w:rsidRDefault="007F39EB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7908087"/>
  <w:bookmarkStart w:id="1" w:name="_Hlk147908088"/>
  <w:bookmarkStart w:id="2" w:name="_Hlk220570232"/>
  <w:bookmarkStart w:id="3" w:name="_Hlk220570233"/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8340" w14:textId="77777777" w:rsidR="007F39EB" w:rsidRDefault="007F39EB" w:rsidP="00F16676">
      <w:pPr>
        <w:spacing w:after="0" w:line="240" w:lineRule="auto"/>
      </w:pPr>
      <w:r>
        <w:separator/>
      </w:r>
    </w:p>
  </w:footnote>
  <w:footnote w:type="continuationSeparator" w:id="0">
    <w:p w14:paraId="23C7CFB9" w14:textId="77777777" w:rsidR="007F39EB" w:rsidRDefault="007F39EB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84ACA"/>
    <w:rsid w:val="00292679"/>
    <w:rsid w:val="002B1B07"/>
    <w:rsid w:val="00301F70"/>
    <w:rsid w:val="00396413"/>
    <w:rsid w:val="003E742D"/>
    <w:rsid w:val="003F75D0"/>
    <w:rsid w:val="004404B9"/>
    <w:rsid w:val="0044109C"/>
    <w:rsid w:val="00450E9F"/>
    <w:rsid w:val="00456B0A"/>
    <w:rsid w:val="00483DCD"/>
    <w:rsid w:val="004B74CF"/>
    <w:rsid w:val="004D1225"/>
    <w:rsid w:val="004D51C6"/>
    <w:rsid w:val="005024B2"/>
    <w:rsid w:val="00521430"/>
    <w:rsid w:val="00560AE3"/>
    <w:rsid w:val="005A115A"/>
    <w:rsid w:val="005B79CB"/>
    <w:rsid w:val="006333E0"/>
    <w:rsid w:val="006E27F1"/>
    <w:rsid w:val="00725011"/>
    <w:rsid w:val="00727752"/>
    <w:rsid w:val="00793ECB"/>
    <w:rsid w:val="007B7FCC"/>
    <w:rsid w:val="007D14DF"/>
    <w:rsid w:val="007F39EB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2177A"/>
    <w:rsid w:val="00A42BDF"/>
    <w:rsid w:val="00AA79E5"/>
    <w:rsid w:val="00AE585F"/>
    <w:rsid w:val="00AF297F"/>
    <w:rsid w:val="00B17E42"/>
    <w:rsid w:val="00B21EE8"/>
    <w:rsid w:val="00B30946"/>
    <w:rsid w:val="00B510A5"/>
    <w:rsid w:val="00B64636"/>
    <w:rsid w:val="00B91AC7"/>
    <w:rsid w:val="00B95D4F"/>
    <w:rsid w:val="00C0701E"/>
    <w:rsid w:val="00C23512"/>
    <w:rsid w:val="00C34104"/>
    <w:rsid w:val="00C97498"/>
    <w:rsid w:val="00CE0FC0"/>
    <w:rsid w:val="00D21818"/>
    <w:rsid w:val="00D43551"/>
    <w:rsid w:val="00DA7789"/>
    <w:rsid w:val="00DF2847"/>
    <w:rsid w:val="00E36DFD"/>
    <w:rsid w:val="00E62B04"/>
    <w:rsid w:val="00E63002"/>
    <w:rsid w:val="00E70CF5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2</cp:revision>
  <cp:lastPrinted>2026-04-24T12:56:00Z</cp:lastPrinted>
  <dcterms:created xsi:type="dcterms:W3CDTF">2026-05-15T13:12:00Z</dcterms:created>
  <dcterms:modified xsi:type="dcterms:W3CDTF">2026-05-15T13:12:00Z</dcterms:modified>
</cp:coreProperties>
</file>