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5B4DB3" w:rsidRDefault="008E0BD6" w:rsidP="005B4DB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B52CBDA" w14:textId="1687C3E3" w:rsidR="00FA6FB7" w:rsidRPr="005B4DB3" w:rsidRDefault="00C0701E" w:rsidP="005B4DB3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5B4DB3">
        <w:rPr>
          <w:rFonts w:asciiTheme="majorHAnsi" w:hAnsiTheme="majorHAnsi" w:cstheme="majorHAnsi"/>
          <w:b/>
          <w:bCs/>
          <w:sz w:val="24"/>
          <w:szCs w:val="24"/>
        </w:rPr>
        <w:t>PROJETO DE LEI _________/2026.</w:t>
      </w:r>
    </w:p>
    <w:p w14:paraId="6F70006A" w14:textId="77777777" w:rsidR="00105931" w:rsidRPr="005B4DB3" w:rsidRDefault="00105931" w:rsidP="005B4DB3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575AF718" w14:textId="386E273F" w:rsidR="004070AD" w:rsidRPr="00220E70" w:rsidRDefault="004070AD" w:rsidP="004070AD">
      <w:pPr>
        <w:pStyle w:val="Standard"/>
        <w:spacing w:after="200"/>
        <w:ind w:left="4395"/>
        <w:jc w:val="both"/>
        <w:rPr>
          <w:rFonts w:ascii="Calibri Light" w:hAnsi="Calibri Light" w:cs="Calibri Light"/>
        </w:rPr>
      </w:pPr>
      <w:r w:rsidRPr="00220E70">
        <w:rPr>
          <w:rFonts w:ascii="Calibri Light" w:hAnsi="Calibri Light" w:cs="Calibri Light"/>
        </w:rPr>
        <w:t xml:space="preserve">Institui </w:t>
      </w:r>
      <w:r w:rsidR="0079633B" w:rsidRPr="00220E70">
        <w:rPr>
          <w:rFonts w:ascii="Calibri Light" w:eastAsiaTheme="minorEastAsia" w:hAnsi="Calibri Light" w:cs="Calibri Light"/>
        </w:rPr>
        <w:t xml:space="preserve">o Programa Municipal “Mapa da Sombra”, com a finalidade de identificar áreas urbanas com baixa cobertura arbórea, excesso de calor e deficiência de sombreamento urbano no </w:t>
      </w:r>
      <w:r w:rsidRPr="00220E70">
        <w:rPr>
          <w:rFonts w:ascii="Calibri Light" w:hAnsi="Calibri Light" w:cs="Calibri Light"/>
        </w:rPr>
        <w:t>Município de Ananindeua e dá outras providências.</w:t>
      </w:r>
    </w:p>
    <w:p w14:paraId="57C644EF" w14:textId="77777777" w:rsidR="004070AD" w:rsidRPr="00220E70" w:rsidRDefault="004070AD" w:rsidP="004070AD">
      <w:pPr>
        <w:pStyle w:val="Standard"/>
        <w:spacing w:after="200"/>
        <w:ind w:left="4395"/>
        <w:jc w:val="both"/>
        <w:rPr>
          <w:rFonts w:ascii="Calibri Light" w:hAnsi="Calibri Light" w:cs="Calibri Light"/>
        </w:rPr>
      </w:pPr>
    </w:p>
    <w:p w14:paraId="6C4F7045" w14:textId="77777777" w:rsidR="004070AD" w:rsidRPr="00220E70" w:rsidRDefault="004070AD" w:rsidP="004070AD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220E70">
        <w:rPr>
          <w:rFonts w:ascii="Calibri Light" w:hAnsi="Calibri Light" w:cs="Calibri Light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3E92F30A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1º </w:t>
      </w:r>
      <w:r w:rsidRPr="00220E70">
        <w:rPr>
          <w:rFonts w:ascii="Calibri Light" w:eastAsiaTheme="minorEastAsia" w:hAnsi="Calibri Light" w:cs="Calibri Light"/>
          <w:lang w:val="pt-BR"/>
        </w:rPr>
        <w:t>Fica instituído o Programa Municipal “Mapa da Sombra”, com a finalidade de identificar áreas urbanas com baixa cobertura arbórea, excesso de calor e deficiência de sombreamento urbano no Município de Ananindeua.</w:t>
      </w:r>
    </w:p>
    <w:p w14:paraId="7ADD6470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2º </w:t>
      </w:r>
      <w:r w:rsidRPr="00220E70">
        <w:rPr>
          <w:rFonts w:ascii="Calibri Light" w:eastAsiaTheme="minorEastAsia" w:hAnsi="Calibri Light" w:cs="Calibri Light"/>
          <w:lang w:val="pt-BR"/>
        </w:rPr>
        <w:t>São objetivos do Programa:</w:t>
      </w:r>
    </w:p>
    <w:p w14:paraId="67132BAD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identificar regiões urbanas com maior incidência de calor excessivo e baixa arborização;</w:t>
      </w:r>
    </w:p>
    <w:p w14:paraId="67B9D113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subsidiar políticas públicas de arborização e planejamento urbano;</w:t>
      </w:r>
    </w:p>
    <w:p w14:paraId="5857B5B2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III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ampliar áreas de sombreamento em vias públicas, praças, escolas, unidades de saúde e espaços de convivência;</w:t>
      </w:r>
    </w:p>
    <w:p w14:paraId="0198721D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IV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contribuir para melhoria da qualidade ambiental e redução das ilhas de calor urbanas;</w:t>
      </w:r>
    </w:p>
    <w:p w14:paraId="52388A64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V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promover conforto térmico para pedestres, usuários do transporte público e população em geral;</w:t>
      </w:r>
    </w:p>
    <w:p w14:paraId="5BD231E8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VI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estimular ações sustentáveis de adaptação climática no Município.</w:t>
      </w:r>
    </w:p>
    <w:p w14:paraId="29D182A6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658DED53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3º </w:t>
      </w:r>
      <w:r w:rsidRPr="00220E70">
        <w:rPr>
          <w:rFonts w:ascii="Calibri Light" w:eastAsiaTheme="minorEastAsia" w:hAnsi="Calibri Light" w:cs="Calibri Light"/>
          <w:lang w:val="pt-BR"/>
        </w:rPr>
        <w:t>O Programa poderá desenvolver:</w:t>
      </w:r>
    </w:p>
    <w:p w14:paraId="0D1BEAE1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 xml:space="preserve">I </w:t>
      </w:r>
      <w:r w:rsidRPr="00220E70">
        <w:rPr>
          <w:rFonts w:ascii="Calibri Light" w:eastAsiaTheme="minorEastAsia" w:hAnsi="Calibri Light" w:cs="Calibri Light"/>
          <w:lang w:val="pt-BR"/>
        </w:rPr>
        <w:t>– mapeamento técnico das áreas com maior incidência de calor urbano;</w:t>
      </w:r>
    </w:p>
    <w:p w14:paraId="5A66F553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levantamento da cobertura vegetal em vias e espaços públicos;</w:t>
      </w:r>
    </w:p>
    <w:p w14:paraId="7FE6B8CD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 xml:space="preserve">III </w:t>
      </w:r>
      <w:r w:rsidRPr="00220E70">
        <w:rPr>
          <w:rFonts w:ascii="Calibri Light" w:eastAsiaTheme="minorEastAsia" w:hAnsi="Calibri Light" w:cs="Calibri Light"/>
          <w:lang w:val="pt-BR"/>
        </w:rPr>
        <w:t>– identificação de locais prioritários para arborização;</w:t>
      </w:r>
    </w:p>
    <w:p w14:paraId="0398D487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IV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elaboração de mapa digital simplificado de sombreamento urbano;</w:t>
      </w:r>
    </w:p>
    <w:p w14:paraId="2F352FBD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V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integração de dados ambientais e urbanísticos;</w:t>
      </w:r>
    </w:p>
    <w:p w14:paraId="765D795B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 xml:space="preserve">VI </w:t>
      </w:r>
      <w:r w:rsidRPr="00220E70">
        <w:rPr>
          <w:rFonts w:ascii="Calibri Light" w:eastAsiaTheme="minorEastAsia" w:hAnsi="Calibri Light" w:cs="Calibri Light"/>
          <w:lang w:val="pt-BR"/>
        </w:rPr>
        <w:t>– campanhas educativas sobre arborização e preservação ambiental.</w:t>
      </w:r>
    </w:p>
    <w:p w14:paraId="7B05982F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20AC344B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4º </w:t>
      </w:r>
      <w:r w:rsidRPr="00220E70">
        <w:rPr>
          <w:rFonts w:ascii="Calibri Light" w:eastAsiaTheme="minorEastAsia" w:hAnsi="Calibri Light" w:cs="Calibri Light"/>
          <w:lang w:val="pt-BR"/>
        </w:rPr>
        <w:t>O Poder Executivo poderá priorizar ações de arborização em:</w:t>
      </w:r>
    </w:p>
    <w:p w14:paraId="18B9F05C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corredores de grande circulação de pedestres;</w:t>
      </w:r>
    </w:p>
    <w:p w14:paraId="260CDB11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lastRenderedPageBreak/>
        <w:t>II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áreas próximas a escolas, unidades de saúde e pontos de ônibus;</w:t>
      </w:r>
    </w:p>
    <w:p w14:paraId="7B626E31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III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bairros com baixa cobertura vegetal;</w:t>
      </w:r>
    </w:p>
    <w:p w14:paraId="12502183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IV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regiões identificadas como ilhas de calor urbano.</w:t>
      </w:r>
    </w:p>
    <w:p w14:paraId="27225CEF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6C53F518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5º </w:t>
      </w:r>
      <w:r w:rsidRPr="00220E70">
        <w:rPr>
          <w:rFonts w:ascii="Calibri Light" w:eastAsiaTheme="minorEastAsia" w:hAnsi="Calibri Light" w:cs="Calibri Light"/>
          <w:lang w:val="pt-BR"/>
        </w:rPr>
        <w:t>O Município poderá celebrar convênios e parcerias com:</w:t>
      </w:r>
    </w:p>
    <w:p w14:paraId="38328B7C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 xml:space="preserve">I </w:t>
      </w:r>
      <w:r w:rsidRPr="00220E70">
        <w:rPr>
          <w:rFonts w:ascii="Calibri Light" w:eastAsiaTheme="minorEastAsia" w:hAnsi="Calibri Light" w:cs="Calibri Light"/>
          <w:lang w:val="pt-BR"/>
        </w:rPr>
        <w:t>– universidades;</w:t>
      </w:r>
    </w:p>
    <w:p w14:paraId="437003D4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 xml:space="preserve">II </w:t>
      </w:r>
      <w:r w:rsidRPr="00220E70">
        <w:rPr>
          <w:rFonts w:ascii="Calibri Light" w:eastAsiaTheme="minorEastAsia" w:hAnsi="Calibri Light" w:cs="Calibri Light"/>
          <w:lang w:val="pt-BR"/>
        </w:rPr>
        <w:t>– institutos de pesquisa;</w:t>
      </w:r>
    </w:p>
    <w:p w14:paraId="7D031896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III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organizações ambientais;</w:t>
      </w:r>
    </w:p>
    <w:p w14:paraId="15241334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 xml:space="preserve">IV </w:t>
      </w:r>
      <w:r w:rsidRPr="00220E70">
        <w:rPr>
          <w:rFonts w:ascii="Calibri Light" w:eastAsiaTheme="minorEastAsia" w:hAnsi="Calibri Light" w:cs="Calibri Light"/>
          <w:lang w:val="pt-BR"/>
        </w:rPr>
        <w:t>– empresas privadas;</w:t>
      </w:r>
    </w:p>
    <w:p w14:paraId="67CAF417" w14:textId="77777777" w:rsidR="004070AD" w:rsidRPr="00220E70" w:rsidRDefault="004070AD" w:rsidP="004070AD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4070AD">
        <w:rPr>
          <w:rFonts w:ascii="Calibri Light" w:eastAsiaTheme="minorEastAsia" w:hAnsi="Calibri Light" w:cs="Calibri Light"/>
          <w:b/>
          <w:bCs/>
          <w:lang w:val="pt-BR"/>
        </w:rPr>
        <w:t>V</w:t>
      </w:r>
      <w:r w:rsidRPr="00220E70">
        <w:rPr>
          <w:rFonts w:ascii="Calibri Light" w:eastAsiaTheme="minorEastAsia" w:hAnsi="Calibri Light" w:cs="Calibri Light"/>
          <w:lang w:val="pt-BR"/>
        </w:rPr>
        <w:t xml:space="preserve"> – instituições voltadas à sustentabilidade urbana.</w:t>
      </w:r>
    </w:p>
    <w:p w14:paraId="700302A0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3E88A006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6º </w:t>
      </w:r>
      <w:r w:rsidRPr="00220E70">
        <w:rPr>
          <w:rFonts w:ascii="Calibri Light" w:eastAsiaTheme="minorEastAsia" w:hAnsi="Calibri Light" w:cs="Calibri Light"/>
          <w:lang w:val="pt-BR"/>
        </w:rPr>
        <w:t>As informações produzidas pelo Programa poderão subsidiar políticas públicas relacionadas à mobilidade urbana, saúde pública, meio ambiente e planejamento territorial.</w:t>
      </w:r>
    </w:p>
    <w:p w14:paraId="4E6E0E75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7º </w:t>
      </w:r>
      <w:r w:rsidRPr="00220E70">
        <w:rPr>
          <w:rFonts w:ascii="Calibri Light" w:eastAsiaTheme="minorEastAsia" w:hAnsi="Calibri Light" w:cs="Calibri Light"/>
          <w:lang w:val="pt-BR"/>
        </w:rPr>
        <w:t>O Poder Executivo regulamentará esta Lei no que couber.</w:t>
      </w:r>
    </w:p>
    <w:p w14:paraId="3EB95647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 xml:space="preserve">Art. 8º </w:t>
      </w:r>
      <w:r w:rsidRPr="00220E70">
        <w:rPr>
          <w:rFonts w:ascii="Calibri Light" w:eastAsiaTheme="minorEastAsia" w:hAnsi="Calibri Light" w:cs="Calibri Light"/>
          <w:lang w:val="pt-BR"/>
        </w:rPr>
        <w:t>Esta Lei entra em vigor na data de sua publicação.</w:t>
      </w:r>
    </w:p>
    <w:p w14:paraId="672FC31F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2E5D7A98" w14:textId="77777777" w:rsidR="004070A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1B331BB3" w14:textId="77777777" w:rsidR="004070A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12469DD7" w14:textId="77777777" w:rsidR="004070A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434C2E54" w14:textId="77777777" w:rsidR="004070A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1F4B736A" w14:textId="77777777" w:rsidR="004070A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4AB3A938" w14:textId="77777777" w:rsidR="004070A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7D8E9451" w14:textId="77777777" w:rsidR="004070AD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58AF7D8D" w14:textId="77777777" w:rsidR="004070AD" w:rsidRDefault="004070AD" w:rsidP="004070A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B6E3346" w14:textId="77777777" w:rsidR="0079633B" w:rsidRDefault="0079633B" w:rsidP="004070A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72B7AED" w14:textId="77777777" w:rsidR="004070AD" w:rsidRDefault="004070AD" w:rsidP="004070A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0E3C9F1" w14:textId="77777777" w:rsidR="004070AD" w:rsidRDefault="004070AD" w:rsidP="004070A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62C35BB" w14:textId="77777777" w:rsidR="004070AD" w:rsidRDefault="004070AD" w:rsidP="004070A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0380A066" w14:textId="77777777" w:rsidR="004070AD" w:rsidRPr="005B4DB3" w:rsidRDefault="004070AD" w:rsidP="004070A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2E62095C" w14:textId="77777777" w:rsidR="004070AD" w:rsidRPr="005B4DB3" w:rsidRDefault="004070AD" w:rsidP="004070A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020DCE44" w14:textId="77777777" w:rsidR="004070AD" w:rsidRPr="005B4DB3" w:rsidRDefault="004070AD" w:rsidP="004070AD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B4DB3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6AEB0E3" w14:textId="77777777" w:rsidR="004070AD" w:rsidRPr="005B4DB3" w:rsidRDefault="004070AD" w:rsidP="004070AD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5B4DB3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5B4DB3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p w14:paraId="07900DEF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</w:p>
    <w:p w14:paraId="45270252" w14:textId="77777777" w:rsidR="004070AD" w:rsidRPr="00220E70" w:rsidRDefault="004070AD" w:rsidP="004070AD">
      <w:pPr>
        <w:pStyle w:val="Corpodetexto"/>
        <w:spacing w:after="200"/>
        <w:jc w:val="center"/>
        <w:rPr>
          <w:rFonts w:ascii="Calibri Light" w:eastAsiaTheme="minorEastAsia" w:hAnsi="Calibri Light" w:cs="Calibri Light"/>
          <w:b/>
          <w:lang w:val="pt-BR"/>
        </w:rPr>
      </w:pPr>
      <w:r w:rsidRPr="00220E70">
        <w:rPr>
          <w:rFonts w:ascii="Calibri Light" w:eastAsiaTheme="minorEastAsia" w:hAnsi="Calibri Light" w:cs="Calibri Light"/>
          <w:b/>
          <w:lang w:val="pt-BR"/>
        </w:rPr>
        <w:t>JUSTIFICATIVA</w:t>
      </w:r>
    </w:p>
    <w:p w14:paraId="0B1AD867" w14:textId="78961B41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lang w:val="pt-BR"/>
        </w:rPr>
        <w:t>O presente Projeto de Lei tem como finalidade instituir política pública voltada à identificação e ao enfrentamento das chamadas ilhas de calor urbano no Município de Ananindeua, por meio da criação de instrumento de mapeamento e planejamento ambiental direcionado às áreas com baixa cobertura arbórea e deficiência de sombreamento urbano.</w:t>
      </w:r>
    </w:p>
    <w:p w14:paraId="549462A1" w14:textId="31A0814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lang w:val="pt-BR"/>
        </w:rPr>
        <w:t>Nos últimos anos, o crescimento urbano acelerado, aliado à redução de áreas verdes e à expansão de superfícies impermeáveis, contribuiu para aumento significativo da sensação térmica em diversos bairros da cidade. Em muitos locais, a ausência de árvores e áreas de sombra afeta diretamente a qualidade de vida da população, especialmente de trabalhadores que dependem do deslocamento a pé, usuários do transporte público, idosos, crianças e pessoas expostas diariamente ao calor intenso nas vias urbanas.</w:t>
      </w:r>
    </w:p>
    <w:p w14:paraId="069656AB" w14:textId="758C5396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lang w:val="pt-BR"/>
        </w:rPr>
        <w:t>Embora a arborização urbana já seja pauta presente em diversas cidades brasileiras, ainda existe carência de políticas públicas estruturadas voltadas especificamente à identificação técnica das áreas mais afetadas pelo calor excessivo. O presente projeto busca justamente preencher essa lacuna, permitindo que o Município desenvolva ações mais eficientes e planejadas de arborização, utilizando critérios de prioridade climática e territorial.</w:t>
      </w:r>
    </w:p>
    <w:p w14:paraId="7A2060D0" w14:textId="236F96AF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lang w:val="pt-BR"/>
        </w:rPr>
        <w:t>A proposta possui caráter preventivo e estratégico, contribuindo não apenas para melhoria ambiental da cidade, mas também para saúde pública, mobilidade urbana e bem-estar social. Estudos urbanísticos demonstram que áreas arborizadas contribuem para redução da temperatura, melhoria da qualidade do ar, diminuição da sensação térmica e ampliação do conforto urbano, especialmente em cidades de clima quente e úmido como Ananindeua.</w:t>
      </w:r>
    </w:p>
    <w:p w14:paraId="7347CB7F" w14:textId="0AF46E5A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lang w:val="pt-BR"/>
        </w:rPr>
        <w:t>Importante destacar que o projeto não impõe obrigação imediata de grandes intervenções estruturais, mas cria diretrizes e instrumentos para organização das futuras ações do Poder Público. Além disso, a iniciativa possibilita integração com universidades, instituições de pesquisa e organizações ambientais, estimulando soluções sustentáveis e inovação urbana.</w:t>
      </w:r>
    </w:p>
    <w:p w14:paraId="2DD16175" w14:textId="5E3A1DB4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lang w:val="pt-BR"/>
        </w:rPr>
        <w:t>O Programa “Mapa da Sombra” representa medida moderna, alinhada às discussões atuais sobre mudanças climáticas, cidades inteligentes e adaptação ambiental urbana. Trata-se de iniciativa de relevante interesse público, capaz de gerar impactos positivos duradouros para a população e para o desenvolvimento sustentável do Município.</w:t>
      </w:r>
    </w:p>
    <w:p w14:paraId="549497C6" w14:textId="77777777" w:rsidR="004070AD" w:rsidRPr="00220E70" w:rsidRDefault="004070AD" w:rsidP="004070AD">
      <w:pPr>
        <w:pStyle w:val="Corpodetexto"/>
        <w:spacing w:after="200"/>
        <w:jc w:val="both"/>
        <w:rPr>
          <w:rFonts w:ascii="Calibri Light" w:eastAsiaTheme="minorEastAsia" w:hAnsi="Calibri Light" w:cs="Calibri Light"/>
          <w:lang w:val="pt-BR"/>
        </w:rPr>
      </w:pPr>
      <w:r w:rsidRPr="00220E70">
        <w:rPr>
          <w:rFonts w:ascii="Calibri Light" w:eastAsiaTheme="minorEastAsia" w:hAnsi="Calibri Light" w:cs="Calibri Light"/>
          <w:lang w:val="pt-BR"/>
        </w:rPr>
        <w:t>Diante da relevância da matéria, solicito o apoio dos nobres pares para aprovação do presente Projeto de Lei.</w:t>
      </w:r>
    </w:p>
    <w:p w14:paraId="051A2F61" w14:textId="77777777" w:rsidR="004D1225" w:rsidRPr="005B4DB3" w:rsidRDefault="004D1225" w:rsidP="004070AD">
      <w:pPr>
        <w:pStyle w:val="Corpodetex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96E3A01" w14:textId="77777777" w:rsidR="003E742D" w:rsidRPr="005B4DB3" w:rsidRDefault="003E742D" w:rsidP="004070AD">
      <w:pPr>
        <w:pStyle w:val="Corpodetex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54EE2DF" w14:textId="77777777" w:rsidR="00122902" w:rsidRPr="005B4DB3" w:rsidRDefault="00122902" w:rsidP="004070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B4DB3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E627900" w14:textId="77777777" w:rsidR="00122902" w:rsidRPr="005B4DB3" w:rsidRDefault="00122902" w:rsidP="005B4DB3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5B4DB3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5B4DB3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sectPr w:rsidR="00122902" w:rsidRPr="005B4DB3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51F4" w14:textId="77777777" w:rsidR="00B54D36" w:rsidRDefault="00B54D36" w:rsidP="00F16676">
      <w:pPr>
        <w:spacing w:after="0" w:line="240" w:lineRule="auto"/>
      </w:pPr>
      <w:r>
        <w:separator/>
      </w:r>
    </w:p>
  </w:endnote>
  <w:endnote w:type="continuationSeparator" w:id="0">
    <w:p w14:paraId="7928F090" w14:textId="77777777" w:rsidR="00B54D36" w:rsidRDefault="00B54D36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D345" w14:textId="77777777" w:rsidR="00B54D36" w:rsidRDefault="00B54D36" w:rsidP="00F16676">
      <w:pPr>
        <w:spacing w:after="0" w:line="240" w:lineRule="auto"/>
      </w:pPr>
      <w:r>
        <w:separator/>
      </w:r>
    </w:p>
  </w:footnote>
  <w:footnote w:type="continuationSeparator" w:id="0">
    <w:p w14:paraId="56FB9D4B" w14:textId="77777777" w:rsidR="00B54D36" w:rsidRDefault="00B54D36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54464"/>
    <w:rsid w:val="0005451F"/>
    <w:rsid w:val="000C37EC"/>
    <w:rsid w:val="00105931"/>
    <w:rsid w:val="00117E06"/>
    <w:rsid w:val="00122902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84ACA"/>
    <w:rsid w:val="00292679"/>
    <w:rsid w:val="002B1B07"/>
    <w:rsid w:val="00301F70"/>
    <w:rsid w:val="00396413"/>
    <w:rsid w:val="003E742D"/>
    <w:rsid w:val="003F75D0"/>
    <w:rsid w:val="004070AD"/>
    <w:rsid w:val="004404B9"/>
    <w:rsid w:val="0044109C"/>
    <w:rsid w:val="00450E9F"/>
    <w:rsid w:val="00456B0A"/>
    <w:rsid w:val="00483DCD"/>
    <w:rsid w:val="004B74CF"/>
    <w:rsid w:val="004D1225"/>
    <w:rsid w:val="004D51C6"/>
    <w:rsid w:val="005024B2"/>
    <w:rsid w:val="00521430"/>
    <w:rsid w:val="00560AE3"/>
    <w:rsid w:val="005A115A"/>
    <w:rsid w:val="005B4DB3"/>
    <w:rsid w:val="005B79CB"/>
    <w:rsid w:val="006333E0"/>
    <w:rsid w:val="006E27F1"/>
    <w:rsid w:val="00725011"/>
    <w:rsid w:val="00727752"/>
    <w:rsid w:val="00793ECB"/>
    <w:rsid w:val="0079633B"/>
    <w:rsid w:val="007B7FCC"/>
    <w:rsid w:val="007D14DF"/>
    <w:rsid w:val="007F39EB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A3117"/>
    <w:rsid w:val="009E2024"/>
    <w:rsid w:val="00A02B4B"/>
    <w:rsid w:val="00A173D2"/>
    <w:rsid w:val="00A2177A"/>
    <w:rsid w:val="00A42BDF"/>
    <w:rsid w:val="00AA79E5"/>
    <w:rsid w:val="00AE585F"/>
    <w:rsid w:val="00AF297F"/>
    <w:rsid w:val="00B17E42"/>
    <w:rsid w:val="00B21EE8"/>
    <w:rsid w:val="00B30946"/>
    <w:rsid w:val="00B510A5"/>
    <w:rsid w:val="00B54D36"/>
    <w:rsid w:val="00B64636"/>
    <w:rsid w:val="00B91AC7"/>
    <w:rsid w:val="00B95D4F"/>
    <w:rsid w:val="00C04320"/>
    <w:rsid w:val="00C0701E"/>
    <w:rsid w:val="00C23512"/>
    <w:rsid w:val="00C34104"/>
    <w:rsid w:val="00C97498"/>
    <w:rsid w:val="00CE0FC0"/>
    <w:rsid w:val="00D21818"/>
    <w:rsid w:val="00D37840"/>
    <w:rsid w:val="00D43551"/>
    <w:rsid w:val="00DA7789"/>
    <w:rsid w:val="00DF2847"/>
    <w:rsid w:val="00E36DFD"/>
    <w:rsid w:val="00E62B04"/>
    <w:rsid w:val="00E63002"/>
    <w:rsid w:val="00E70CF5"/>
    <w:rsid w:val="00ED57EF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4294960105</TotalTime>
  <Pages>3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3</cp:revision>
  <cp:lastPrinted>2026-04-24T12:56:00Z</cp:lastPrinted>
  <dcterms:created xsi:type="dcterms:W3CDTF">2026-05-29T11:41:00Z</dcterms:created>
  <dcterms:modified xsi:type="dcterms:W3CDTF">2026-05-27T12:58:00Z</dcterms:modified>
</cp:coreProperties>
</file>