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80"/>
      </w:pPr>
    </w:p>
    <w:p>
      <w:pPr>
        <w:spacing w:after="80" w:before="80"/>
      </w:pPr>
    </w:p>
    <w:p>
      <w:pPr>
        <w:spacing w:after="80" w:before="80"/>
      </w:pPr>
    </w:p>
    <w:p>
      <w:pPr>
        <w:spacing w:after="120" w:before="200"/>
        <w:jc w:val="center"/>
      </w:pPr>
      <w:r>
        <w:rPr>
          <w:rFonts w:ascii="Calibri" w:cs="Calibri" w:eastAsia="Calibri" w:hAnsi="Calibri"/>
          <w:b/>
          <w:bCs/>
          <w:color w:val="122EEF"/>
          <w:sz w:val="100"/>
          <w:szCs w:val="100"/>
        </w:rPr>
        <w:t xml:space="preserve">VIP PASS</w:t>
      </w:r>
    </w:p>
    <w:p>
      <w:pPr>
        <w:spacing w:after="500" w:before="80"/>
        <w:jc w:val="center"/>
      </w:pPr>
      <w:r>
        <w:rPr>
          <w:rFonts w:ascii="Calibri" w:cs="Calibri" w:eastAsia="Calibri" w:hAnsi="Calibri"/>
          <w:color w:val="6B7280"/>
          <w:sz w:val="26"/>
          <w:szCs w:val="26"/>
        </w:rPr>
        <w:t xml:space="preserve">www.vippass.com.co</w:t>
      </w:r>
    </w:p>
    <w:p>
      <w:pPr>
        <w:spacing w:after="120" w:before="200"/>
        <w:jc w:val="center"/>
      </w:pPr>
      <w:r>
        <w:rPr>
          <w:rFonts w:ascii="Calibri" w:cs="Calibri" w:eastAsia="Calibri" w:hAnsi="Calibri"/>
          <w:b/>
          <w:bCs/>
          <w:color w:val="111827"/>
          <w:sz w:val="44"/>
          <w:szCs w:val="44"/>
        </w:rPr>
        <w:t xml:space="preserve">MANUAL DE POLÍTICAS Y PROCEDIMIENTOS</w:t>
      </w:r>
    </w:p>
    <w:p>
      <w:pPr>
        <w:spacing w:after="120" w:before="80"/>
        <w:jc w:val="center"/>
      </w:pPr>
      <w:r>
        <w:rPr>
          <w:rFonts w:ascii="Calibri" w:cs="Calibri" w:eastAsia="Calibri" w:hAnsi="Calibri"/>
          <w:b/>
          <w:bCs/>
          <w:color w:val="122EEF"/>
          <w:sz w:val="56"/>
          <w:szCs w:val="56"/>
        </w:rPr>
        <w:t xml:space="preserve">SAGRILAFT / SARLAFT</w:t>
      </w:r>
    </w:p>
    <w:p>
      <w:pPr>
        <w:spacing w:after="60" w:before="120"/>
        <w:jc w:val="center"/>
      </w:pPr>
      <w:r>
        <w:rPr>
          <w:rFonts w:ascii="Calibri" w:cs="Calibri" w:eastAsia="Calibri" w:hAnsi="Calibri"/>
          <w:color w:val="6B7280"/>
          <w:sz w:val="24"/>
          <w:szCs w:val="24"/>
        </w:rPr>
        <w:t xml:space="preserve">Sistema de Autocontrol y Gestión del Riesgo Integral de</w:t>
      </w:r>
    </w:p>
    <w:p>
      <w:pPr>
        <w:spacing w:after="500" w:before="60"/>
        <w:jc w:val="center"/>
      </w:pPr>
      <w:r>
        <w:rPr>
          <w:rFonts w:ascii="Calibri" w:cs="Calibri" w:eastAsia="Calibri" w:hAnsi="Calibri"/>
          <w:color w:val="6B7280"/>
          <w:sz w:val="22"/>
          <w:szCs w:val="22"/>
        </w:rPr>
        <w:t xml:space="preserve">Lavado de Activos · Financiación del Terrorismo · Financiamiento de la Proliferación de Armas de Destrucción Masiva</w:t>
      </w:r>
    </w:p>
    <w:p>
      <w:pPr>
        <w:spacing w:after="120" w:before="200"/>
        <w:jc w:val="center"/>
      </w:pPr>
      <w:r>
        <w:rPr>
          <w:rFonts w:ascii="Calibri" w:cs="Calibri" w:eastAsia="Calibri" w:hAnsi="Calibri"/>
          <w:color w:val="6B7280"/>
          <w:sz w:val="22"/>
          <w:szCs w:val="22"/>
        </w:rPr>
        <w:t xml:space="preserve">Código: VIP-SAGRILAFT-001  |  Versión 1.0  |  Julio 2025</w:t>
      </w:r>
    </w:p>
    <w:p>
      <w:pPr>
        <w:spacing w:after="80" w:before="80"/>
        <w:jc w:val="center"/>
      </w:pPr>
      <w:r>
        <w:rPr>
          <w:rFonts w:ascii="Calibri" w:cs="Calibri" w:eastAsia="Calibri" w:hAnsi="Calibri"/>
          <w:b/>
          <w:bCs/>
          <w:color w:val="B91C1C"/>
          <w:sz w:val="22"/>
          <w:szCs w:val="22"/>
        </w:rPr>
        <w:t xml:space="preserve">Clasificación: CONFIDENCIAL — USO INTERNO</w:t>
      </w:r>
    </w:p>
    <w:p>
      <w:pPr>
        <w:spacing w:after="80" w:before="80"/>
      </w:pPr>
    </w:p>
    <w:p>
      <w:pPr>
        <w:spacing w:after="80" w:before="80"/>
      </w:pPr>
    </w:p>
    <w:p>
      <w:pPr>
        <w:pageBreakBefore/>
      </w:pPr>
    </w:p>
    <w:p>
      <w:pPr>
        <w:pBdr>
          <w:bottom w:val="single" w:color="122EEF" w:sz="6"/>
        </w:pBdr>
        <w:spacing w:after="180" w:before="400"/>
      </w:pPr>
      <w:r>
        <w:rPr>
          <w:rFonts w:ascii="Calibri" w:cs="Calibri" w:eastAsia="Calibri" w:hAnsi="Calibri"/>
          <w:b/>
          <w:bCs/>
          <w:color w:val="111827"/>
          <w:sz w:val="28"/>
          <w:szCs w:val="28"/>
        </w:rPr>
        <w:t xml:space="preserve">CONTROL DEL DOCUMENTO</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2500"/>
            <w:shd w:fill="122EEF" w:color="auto" w:val="clear"/>
          </w:tcPr>
          <w:p>
            <w:pPr>
              <w:jc w:val="center"/>
            </w:pPr>
            <w:r>
              <w:rPr>
                <w:rFonts w:ascii="Calibri" w:cs="Calibri" w:eastAsia="Calibri" w:hAnsi="Calibri"/>
                <w:b/>
                <w:bCs/>
                <w:color w:val="FFFFFF"/>
                <w:sz w:val="19"/>
                <w:szCs w:val="19"/>
              </w:rPr>
              <w:t xml:space="preserve">Campo</w:t>
            </w:r>
          </w:p>
        </w:tc>
        <w:tc>
          <w:tcPr>
            <w:tcW w:type="dxa" w:w="6500"/>
            <w:shd w:fill="122EEF" w:color="auto" w:val="clear"/>
          </w:tcPr>
          <w:p>
            <w:pPr>
              <w:jc w:val="center"/>
            </w:pPr>
            <w:r>
              <w:rPr>
                <w:rFonts w:ascii="Calibri" w:cs="Calibri" w:eastAsia="Calibri" w:hAnsi="Calibri"/>
                <w:b/>
                <w:bCs/>
                <w:color w:val="FFFFFF"/>
                <w:sz w:val="19"/>
                <w:szCs w:val="19"/>
              </w:rPr>
              <w:t xml:space="preserve">Detalle</w:t>
            </w:r>
          </w:p>
        </w:tc>
      </w:tr>
      <w:tr>
        <w:tc>
          <w:tcPr>
            <w:tcW w:type="dxa" w:w="2500"/>
            <w:shd w:fill="F9FAFB" w:color="auto" w:val="clear"/>
          </w:tcPr>
          <w:p>
            <w:pPr>
              <w:jc w:val="both"/>
            </w:pPr>
            <w:r>
              <w:rPr>
                <w:rFonts w:ascii="Calibri" w:cs="Calibri" w:eastAsia="Calibri" w:hAnsi="Calibri"/>
                <w:color w:val="111827"/>
                <w:sz w:val="18"/>
                <w:szCs w:val="18"/>
              </w:rPr>
              <w:t xml:space="preserve">Nombre</w:t>
            </w:r>
          </w:p>
        </w:tc>
        <w:tc>
          <w:tcPr>
            <w:tcW w:type="dxa" w:w="6500"/>
            <w:shd w:fill="F9FAFB" w:color="auto" w:val="clear"/>
          </w:tcPr>
          <w:p>
            <w:pPr>
              <w:jc w:val="both"/>
            </w:pPr>
            <w:r>
              <w:rPr>
                <w:rFonts w:ascii="Calibri" w:cs="Calibri" w:eastAsia="Calibri" w:hAnsi="Calibri"/>
                <w:color w:val="111827"/>
                <w:sz w:val="18"/>
                <w:szCs w:val="18"/>
              </w:rPr>
              <w:t xml:space="preserve">Manual de Políticas y Procedimientos SAGRILAFT / SARLAFT</w:t>
            </w:r>
          </w:p>
        </w:tc>
      </w:tr>
      <w:tr>
        <w:tc>
          <w:tcPr>
            <w:tcW w:type="dxa" w:w="2500"/>
            <w:shd w:fill="FFFFFF" w:color="auto" w:val="clear"/>
          </w:tcPr>
          <w:p>
            <w:pPr>
              <w:jc w:val="both"/>
            </w:pPr>
            <w:r>
              <w:rPr>
                <w:rFonts w:ascii="Calibri" w:cs="Calibri" w:eastAsia="Calibri" w:hAnsi="Calibri"/>
                <w:color w:val="111827"/>
                <w:sz w:val="18"/>
                <w:szCs w:val="18"/>
              </w:rPr>
              <w:t xml:space="preserve">Código</w:t>
            </w:r>
          </w:p>
        </w:tc>
        <w:tc>
          <w:tcPr>
            <w:tcW w:type="dxa" w:w="6500"/>
            <w:shd w:fill="FFFFFF" w:color="auto" w:val="clear"/>
          </w:tcPr>
          <w:p>
            <w:pPr>
              <w:jc w:val="both"/>
            </w:pPr>
            <w:r>
              <w:rPr>
                <w:rFonts w:ascii="Calibri" w:cs="Calibri" w:eastAsia="Calibri" w:hAnsi="Calibri"/>
                <w:color w:val="111827"/>
                <w:sz w:val="18"/>
                <w:szCs w:val="18"/>
              </w:rPr>
              <w:t xml:space="preserve">VIP-SAGRILAFT-001</w:t>
            </w:r>
          </w:p>
        </w:tc>
      </w:tr>
      <w:tr>
        <w:tc>
          <w:tcPr>
            <w:tcW w:type="dxa" w:w="2500"/>
            <w:shd w:fill="F9FAFB" w:color="auto" w:val="clear"/>
          </w:tcPr>
          <w:p>
            <w:pPr>
              <w:jc w:val="both"/>
            </w:pPr>
            <w:r>
              <w:rPr>
                <w:rFonts w:ascii="Calibri" w:cs="Calibri" w:eastAsia="Calibri" w:hAnsi="Calibri"/>
                <w:color w:val="111827"/>
                <w:sz w:val="18"/>
                <w:szCs w:val="18"/>
              </w:rPr>
              <w:t xml:space="preserve">Versión</w:t>
            </w:r>
          </w:p>
        </w:tc>
        <w:tc>
          <w:tcPr>
            <w:tcW w:type="dxa" w:w="6500"/>
            <w:shd w:fill="F9FAFB" w:color="auto" w:val="clear"/>
          </w:tcPr>
          <w:p>
            <w:pPr>
              <w:jc w:val="both"/>
            </w:pPr>
            <w:r>
              <w:rPr>
                <w:rFonts w:ascii="Calibri" w:cs="Calibri" w:eastAsia="Calibri" w:hAnsi="Calibri"/>
                <w:color w:val="111827"/>
                <w:sz w:val="18"/>
                <w:szCs w:val="18"/>
              </w:rPr>
              <w:t xml:space="preserve">1.0</w:t>
            </w:r>
          </w:p>
        </w:tc>
      </w:tr>
      <w:tr>
        <w:tc>
          <w:tcPr>
            <w:tcW w:type="dxa" w:w="2500"/>
            <w:shd w:fill="FFFFFF" w:color="auto" w:val="clear"/>
          </w:tcPr>
          <w:p>
            <w:pPr>
              <w:jc w:val="both"/>
            </w:pPr>
            <w:r>
              <w:rPr>
                <w:rFonts w:ascii="Calibri" w:cs="Calibri" w:eastAsia="Calibri" w:hAnsi="Calibri"/>
                <w:color w:val="111827"/>
                <w:sz w:val="18"/>
                <w:szCs w:val="18"/>
              </w:rPr>
              <w:t xml:space="preserve">Fecha de emisión</w:t>
            </w:r>
          </w:p>
        </w:tc>
        <w:tc>
          <w:tcPr>
            <w:tcW w:type="dxa" w:w="6500"/>
            <w:shd w:fill="FFFFFF" w:color="auto" w:val="clear"/>
          </w:tcPr>
          <w:p>
            <w:pPr>
              <w:jc w:val="both"/>
            </w:pPr>
            <w:r>
              <w:rPr>
                <w:rFonts w:ascii="Calibri" w:cs="Calibri" w:eastAsia="Calibri" w:hAnsi="Calibri"/>
                <w:color w:val="111827"/>
                <w:sz w:val="18"/>
                <w:szCs w:val="18"/>
              </w:rPr>
              <w:t xml:space="preserve">Julio 2025</w:t>
            </w:r>
          </w:p>
        </w:tc>
      </w:tr>
      <w:tr>
        <w:tc>
          <w:tcPr>
            <w:tcW w:type="dxa" w:w="2500"/>
            <w:shd w:fill="F9FAFB" w:color="auto" w:val="clear"/>
          </w:tcPr>
          <w:p>
            <w:pPr>
              <w:jc w:val="both"/>
            </w:pPr>
            <w:r>
              <w:rPr>
                <w:rFonts w:ascii="Calibri" w:cs="Calibri" w:eastAsia="Calibri" w:hAnsi="Calibri"/>
                <w:color w:val="111827"/>
                <w:sz w:val="18"/>
                <w:szCs w:val="18"/>
              </w:rPr>
              <w:t xml:space="preserve">Elaborado por</w:t>
            </w:r>
          </w:p>
        </w:tc>
        <w:tc>
          <w:tcPr>
            <w:tcW w:type="dxa" w:w="6500"/>
            <w:shd w:fill="F9FAFB" w:color="auto" w:val="clear"/>
          </w:tcPr>
          <w:p>
            <w:pPr>
              <w:jc w:val="both"/>
            </w:pPr>
            <w:r>
              <w:rPr>
                <w:rFonts w:ascii="Calibri" w:cs="Calibri" w:eastAsia="Calibri" w:hAnsi="Calibri"/>
                <w:color w:val="111827"/>
                <w:sz w:val="18"/>
                <w:szCs w:val="18"/>
              </w:rPr>
              <w:t xml:space="preserve">Oficial de Cumplimiento / [Nombre]</w:t>
            </w:r>
          </w:p>
        </w:tc>
      </w:tr>
      <w:tr>
        <w:tc>
          <w:tcPr>
            <w:tcW w:type="dxa" w:w="2500"/>
            <w:shd w:fill="FFFFFF" w:color="auto" w:val="clear"/>
          </w:tcPr>
          <w:p>
            <w:pPr>
              <w:jc w:val="both"/>
            </w:pPr>
            <w:r>
              <w:rPr>
                <w:rFonts w:ascii="Calibri" w:cs="Calibri" w:eastAsia="Calibri" w:hAnsi="Calibri"/>
                <w:color w:val="111827"/>
                <w:sz w:val="18"/>
                <w:szCs w:val="18"/>
              </w:rPr>
              <w:t xml:space="preserve">Aprobado por</w:t>
            </w:r>
          </w:p>
        </w:tc>
        <w:tc>
          <w:tcPr>
            <w:tcW w:type="dxa" w:w="6500"/>
            <w:shd w:fill="FFFFFF" w:color="auto" w:val="clear"/>
          </w:tcPr>
          <w:p>
            <w:pPr>
              <w:jc w:val="both"/>
            </w:pPr>
            <w:r>
              <w:rPr>
                <w:rFonts w:ascii="Calibri" w:cs="Calibri" w:eastAsia="Calibri" w:hAnsi="Calibri"/>
                <w:color w:val="111827"/>
                <w:sz w:val="18"/>
                <w:szCs w:val="18"/>
              </w:rPr>
              <w:t xml:space="preserve">Junta Directiva / Máximo Órgano Social</w:t>
            </w:r>
          </w:p>
        </w:tc>
      </w:tr>
      <w:tr>
        <w:tc>
          <w:tcPr>
            <w:tcW w:type="dxa" w:w="2500"/>
            <w:shd w:fill="F9FAFB" w:color="auto" w:val="clear"/>
          </w:tcPr>
          <w:p>
            <w:pPr>
              <w:jc w:val="both"/>
            </w:pPr>
            <w:r>
              <w:rPr>
                <w:rFonts w:ascii="Calibri" w:cs="Calibri" w:eastAsia="Calibri" w:hAnsi="Calibri"/>
                <w:color w:val="111827"/>
                <w:sz w:val="18"/>
                <w:szCs w:val="18"/>
              </w:rPr>
              <w:t xml:space="preserve">Inscrito ante SIREL-UIAF</w:t>
            </w:r>
          </w:p>
        </w:tc>
        <w:tc>
          <w:tcPr>
            <w:tcW w:type="dxa" w:w="6500"/>
            <w:shd w:fill="F9FAFB" w:color="auto" w:val="clear"/>
          </w:tcPr>
          <w:p>
            <w:pPr>
              <w:jc w:val="both"/>
            </w:pPr>
            <w:r>
              <w:rPr>
                <w:rFonts w:ascii="Calibri" w:cs="Calibri" w:eastAsia="Calibri" w:hAnsi="Calibri"/>
                <w:color w:val="111827"/>
                <w:sz w:val="18"/>
                <w:szCs w:val="18"/>
              </w:rPr>
              <w:t xml:space="preserve">[Fecha de inscripción del Oficial de Cumplimiento]</w:t>
            </w:r>
          </w:p>
        </w:tc>
      </w:tr>
      <w:tr>
        <w:tc>
          <w:tcPr>
            <w:tcW w:type="dxa" w:w="2500"/>
            <w:shd w:fill="FFFFFF" w:color="auto" w:val="clear"/>
          </w:tcPr>
          <w:p>
            <w:pPr>
              <w:jc w:val="both"/>
            </w:pPr>
            <w:r>
              <w:rPr>
                <w:rFonts w:ascii="Calibri" w:cs="Calibri" w:eastAsia="Calibri" w:hAnsi="Calibri"/>
                <w:color w:val="111827"/>
                <w:sz w:val="18"/>
                <w:szCs w:val="18"/>
              </w:rPr>
              <w:t xml:space="preserve">Próxima revisión</w:t>
            </w:r>
          </w:p>
        </w:tc>
        <w:tc>
          <w:tcPr>
            <w:tcW w:type="dxa" w:w="6500"/>
            <w:shd w:fill="FFFFFF" w:color="auto" w:val="clear"/>
          </w:tcPr>
          <w:p>
            <w:pPr>
              <w:jc w:val="both"/>
            </w:pPr>
            <w:r>
              <w:rPr>
                <w:rFonts w:ascii="Calibri" w:cs="Calibri" w:eastAsia="Calibri" w:hAnsi="Calibri"/>
                <w:color w:val="111827"/>
                <w:sz w:val="18"/>
                <w:szCs w:val="18"/>
              </w:rPr>
              <w:t xml:space="preserve">Julio 2027 (máx. cada 2 años — Circular 100-000016/2020)</w:t>
            </w:r>
          </w:p>
        </w:tc>
      </w:tr>
      <w:tr>
        <w:tc>
          <w:tcPr>
            <w:tcW w:type="dxa" w:w="2500"/>
            <w:shd w:fill="F9FAFB" w:color="auto" w:val="clear"/>
          </w:tcPr>
          <w:p>
            <w:pPr>
              <w:jc w:val="both"/>
            </w:pPr>
            <w:r>
              <w:rPr>
                <w:rFonts w:ascii="Calibri" w:cs="Calibri" w:eastAsia="Calibri" w:hAnsi="Calibri"/>
                <w:color w:val="111827"/>
                <w:sz w:val="18"/>
                <w:szCs w:val="18"/>
              </w:rPr>
              <w:t xml:space="preserve">Clasificación</w:t>
            </w:r>
          </w:p>
        </w:tc>
        <w:tc>
          <w:tcPr>
            <w:tcW w:type="dxa" w:w="6500"/>
            <w:shd w:fill="F9FAFB" w:color="auto" w:val="clear"/>
          </w:tcPr>
          <w:p>
            <w:pPr>
              <w:jc w:val="both"/>
            </w:pPr>
            <w:r>
              <w:rPr>
                <w:rFonts w:ascii="Calibri" w:cs="Calibri" w:eastAsia="Calibri" w:hAnsi="Calibri"/>
                <w:color w:val="111827"/>
                <w:sz w:val="18"/>
                <w:szCs w:val="18"/>
              </w:rPr>
              <w:t xml:space="preserve">Confidencial — Uso Interno</w:t>
            </w:r>
          </w:p>
        </w:tc>
      </w:tr>
    </w:tbl>
    <w:p>
      <w:pPr>
        <w:spacing w:after="80" w:before="80"/>
      </w:pPr>
    </w:p>
    <w:p>
      <w:pPr>
        <w:pBdr>
          <w:bottom w:val="single" w:color="122EEF" w:sz="6"/>
        </w:pBdr>
        <w:spacing w:after="180" w:before="400"/>
      </w:pPr>
      <w:r>
        <w:rPr>
          <w:rFonts w:ascii="Calibri" w:cs="Calibri" w:eastAsia="Calibri" w:hAnsi="Calibri"/>
          <w:b/>
          <w:bCs/>
          <w:color w:val="111827"/>
          <w:sz w:val="28"/>
          <w:szCs w:val="28"/>
        </w:rPr>
        <w:t xml:space="preserve">HISTORIAL DE VERSIONES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W w:type="dxa" w:w="1500"/>
            <w:shd w:fill="122EEF" w:color="auto" w:val="clear"/>
          </w:tcPr>
          <w:p>
            <w:pPr>
              <w:jc w:val="center"/>
            </w:pPr>
            <w:r>
              <w:rPr>
                <w:rFonts w:ascii="Calibri" w:cs="Calibri" w:eastAsia="Calibri" w:hAnsi="Calibri"/>
                <w:b/>
                <w:bCs/>
                <w:color w:val="FFFFFF"/>
                <w:sz w:val="19"/>
                <w:szCs w:val="19"/>
              </w:rPr>
              <w:t xml:space="preserve">Versión</w:t>
            </w:r>
          </w:p>
        </w:tc>
        <w:tc>
          <w:tcPr>
            <w:tcW w:type="dxa" w:w="1800"/>
            <w:shd w:fill="122EEF" w:color="auto" w:val="clear"/>
          </w:tcPr>
          <w:p>
            <w:pPr>
              <w:jc w:val="center"/>
            </w:pPr>
            <w:r>
              <w:rPr>
                <w:rFonts w:ascii="Calibri" w:cs="Calibri" w:eastAsia="Calibri" w:hAnsi="Calibri"/>
                <w:b/>
                <w:bCs/>
                <w:color w:val="FFFFFF"/>
                <w:sz w:val="19"/>
                <w:szCs w:val="19"/>
              </w:rPr>
              <w:t xml:space="preserve">Fecha</w:t>
            </w:r>
          </w:p>
        </w:tc>
        <w:tc>
          <w:tcPr>
            <w:tcW w:type="dxa" w:w="4000"/>
            <w:shd w:fill="122EEF" w:color="auto" w:val="clear"/>
          </w:tcPr>
          <w:p>
            <w:pPr>
              <w:jc w:val="center"/>
            </w:pPr>
            <w:r>
              <w:rPr>
                <w:rFonts w:ascii="Calibri" w:cs="Calibri" w:eastAsia="Calibri" w:hAnsi="Calibri"/>
                <w:b/>
                <w:bCs/>
                <w:color w:val="FFFFFF"/>
                <w:sz w:val="19"/>
                <w:szCs w:val="19"/>
              </w:rPr>
              <w:t xml:space="preserve">Cambio</w:t>
            </w:r>
          </w:p>
        </w:tc>
        <w:tc>
          <w:tcPr>
            <w:tcW w:type="dxa" w:w="1700"/>
            <w:shd w:fill="122EEF" w:color="auto" w:val="clear"/>
          </w:tcPr>
          <w:p>
            <w:pPr>
              <w:jc w:val="center"/>
            </w:pPr>
            <w:r>
              <w:rPr>
                <w:rFonts w:ascii="Calibri" w:cs="Calibri" w:eastAsia="Calibri" w:hAnsi="Calibri"/>
                <w:b/>
                <w:bCs/>
                <w:color w:val="FFFFFF"/>
                <w:sz w:val="19"/>
                <w:szCs w:val="19"/>
              </w:rPr>
              <w:t xml:space="preserve">Aprobado por</w:t>
            </w:r>
          </w:p>
        </w:tc>
      </w:tr>
      <w:tr>
        <w:tc>
          <w:tcPr>
            <w:tcW w:type="dxa" w:w="1500"/>
            <w:shd w:fill="F9FAFB" w:color="auto" w:val="clear"/>
          </w:tcPr>
          <w:p>
            <w:pPr>
              <w:jc w:val="both"/>
            </w:pPr>
            <w:r>
              <w:rPr>
                <w:rFonts w:ascii="Calibri" w:cs="Calibri" w:eastAsia="Calibri" w:hAnsi="Calibri"/>
                <w:color w:val="111827"/>
                <w:sz w:val="18"/>
                <w:szCs w:val="18"/>
              </w:rPr>
              <w:t xml:space="preserve">1.0</w:t>
            </w:r>
          </w:p>
        </w:tc>
        <w:tc>
          <w:tcPr>
            <w:tcW w:type="dxa" w:w="1800"/>
            <w:shd w:fill="F9FAFB" w:color="auto" w:val="clear"/>
          </w:tcPr>
          <w:p>
            <w:pPr>
              <w:jc w:val="both"/>
            </w:pPr>
            <w:r>
              <w:rPr>
                <w:rFonts w:ascii="Calibri" w:cs="Calibri" w:eastAsia="Calibri" w:hAnsi="Calibri"/>
                <w:color w:val="111827"/>
                <w:sz w:val="18"/>
                <w:szCs w:val="18"/>
              </w:rPr>
              <w:t xml:space="preserve">Julio 2025</w:t>
            </w:r>
          </w:p>
        </w:tc>
        <w:tc>
          <w:tcPr>
            <w:tcW w:type="dxa" w:w="4000"/>
            <w:shd w:fill="F9FAFB" w:color="auto" w:val="clear"/>
          </w:tcPr>
          <w:p>
            <w:pPr>
              <w:jc w:val="both"/>
            </w:pPr>
            <w:r>
              <w:rPr>
                <w:rFonts w:ascii="Calibri" w:cs="Calibri" w:eastAsia="Calibri" w:hAnsi="Calibri"/>
                <w:color w:val="111827"/>
                <w:sz w:val="18"/>
                <w:szCs w:val="18"/>
              </w:rPr>
              <w:t xml:space="preserve">Emisión inicial</w:t>
            </w:r>
          </w:p>
        </w:tc>
        <w:tc>
          <w:tcPr>
            <w:tcW w:type="dxa" w:w="1700"/>
            <w:shd w:fill="F9FAFB" w:color="auto" w:val="clear"/>
          </w:tcPr>
          <w:p>
            <w:pPr>
              <w:jc w:val="both"/>
            </w:pPr>
            <w:r>
              <w:rPr>
                <w:rFonts w:ascii="Calibri" w:cs="Calibri" w:eastAsia="Calibri" w:hAnsi="Calibri"/>
                <w:color w:val="111827"/>
                <w:sz w:val="18"/>
                <w:szCs w:val="18"/>
              </w:rPr>
              <w:t xml:space="preserve">Junta Directiva</w:t>
            </w:r>
          </w:p>
        </w:tc>
      </w:tr>
    </w:tbl>
    <w:p>
      <w:pPr>
        <w:spacing w:after="80" w:before="80"/>
      </w:pPr>
    </w:p>
    <w:p>
      <w:pPr>
        <w:pageBreakBefore/>
      </w:pPr>
    </w:p>
    <w:p>
      <w:pPr>
        <w:pBdr>
          <w:bottom w:val="thick" w:color="122EEF" w:sz="10"/>
        </w:pBdr>
        <w:spacing w:after="260" w:before="600"/>
      </w:pPr>
      <w:r>
        <w:rPr>
          <w:rFonts w:ascii="Calibri" w:cs="Calibri" w:eastAsia="Calibri" w:hAnsi="Calibri"/>
          <w:b/>
          <w:bCs/>
          <w:color w:val="122EEF"/>
          <w:sz w:val="38"/>
          <w:szCs w:val="38"/>
        </w:rPr>
        <w:t xml:space="preserve">1. OBJETO, ALCANCE Y DIFERENCIA SAGRILAFT / SARLAFT</w:t>
      </w:r>
    </w:p>
    <w:p>
      <w:pPr>
        <w:pBdr>
          <w:bottom w:val="single" w:color="122EEF" w:sz="6"/>
        </w:pBdr>
        <w:spacing w:after="180" w:before="400"/>
      </w:pPr>
      <w:r>
        <w:rPr>
          <w:rFonts w:ascii="Calibri" w:cs="Calibri" w:eastAsia="Calibri" w:hAnsi="Calibri"/>
          <w:b/>
          <w:bCs/>
          <w:color w:val="111827"/>
          <w:sz w:val="28"/>
          <w:szCs w:val="28"/>
        </w:rPr>
        <w:t xml:space="preserve">1.1 Objeto</w:t>
      </w:r>
    </w:p>
    <w:p>
      <w:pPr>
        <w:spacing w:after="80" w:before="80"/>
        <w:jc w:val="both"/>
      </w:pPr>
      <w:r>
        <w:rPr>
          <w:rFonts w:ascii="Calibri" w:cs="Calibri" w:eastAsia="Calibri" w:hAnsi="Calibri"/>
          <w:color w:val="111827"/>
          <w:sz w:val="20"/>
          <w:szCs w:val="20"/>
        </w:rPr>
        <w:t xml:space="preserve">El presente Manual establece las políticas, procedimientos, metodologías y controles del Sistema de Autocontrol y Gestión del Riesgo Integral de Lavado de Activos, Financiación del Terrorismo y Financiamiento de la Proliferación de Armas de Destrucción Masiva (SAGRILAFT / LA/FT/FPADM) de VIP PASS, con el propósito de:</w:t>
      </w:r>
    </w:p>
    <w:p>
      <w:pPr>
        <w:spacing w:after="65" w:before="65"/>
        <w:ind w:left="500"/>
        <w:jc w:val="both"/>
      </w:pPr>
      <w:r>
        <w:rPr>
          <w:rFonts w:ascii="Calibri" w:cs="Calibri" w:eastAsia="Calibri" w:hAnsi="Calibri"/>
          <w:color w:val="111827"/>
          <w:sz w:val="20"/>
          <w:szCs w:val="20"/>
        </w:rPr>
        <w:t xml:space="preserve">▸  Prevenir que la empresa sea utilizada como instrumento para la realización de actividades de lavado de activos (LA), financiación del terrorismo (FT) o financiamiento de la proliferación de armas de destrucción masiva (FPADM).</w:t>
      </w:r>
    </w:p>
    <w:p>
      <w:pPr>
        <w:spacing w:after="65" w:before="65"/>
        <w:ind w:left="500"/>
        <w:jc w:val="both"/>
      </w:pPr>
      <w:r>
        <w:rPr>
          <w:rFonts w:ascii="Calibri" w:cs="Calibri" w:eastAsia="Calibri" w:hAnsi="Calibri"/>
          <w:color w:val="111827"/>
          <w:sz w:val="20"/>
          <w:szCs w:val="20"/>
        </w:rPr>
        <w:t xml:space="preserve">▸  Cumplir las obligaciones legales establecidas por la Superintendencia de Sociedades mediante la Circular Externa 100-000016 del 24 de diciembre de 2020 y sus modificaciones.</w:t>
      </w:r>
    </w:p>
    <w:p>
      <w:pPr>
        <w:spacing w:after="65" w:before="65"/>
        <w:ind w:left="500"/>
        <w:jc w:val="both"/>
      </w:pPr>
      <w:r>
        <w:rPr>
          <w:rFonts w:ascii="Calibri" w:cs="Calibri" w:eastAsia="Calibri" w:hAnsi="Calibri"/>
          <w:color w:val="111827"/>
          <w:sz w:val="20"/>
          <w:szCs w:val="20"/>
        </w:rPr>
        <w:t xml:space="preserve">▸  Reportar oportunamente a la Unidad de Información y Análisis Financiero (UIAF) las operaciones sospechosas detectadas.</w:t>
      </w:r>
    </w:p>
    <w:p>
      <w:pPr>
        <w:spacing w:after="65" w:before="65"/>
        <w:ind w:left="500"/>
        <w:jc w:val="both"/>
      </w:pPr>
      <w:r>
        <w:rPr>
          <w:rFonts w:ascii="Calibri" w:cs="Calibri" w:eastAsia="Calibri" w:hAnsi="Calibri"/>
          <w:color w:val="111827"/>
          <w:sz w:val="20"/>
          <w:szCs w:val="20"/>
        </w:rPr>
        <w:t xml:space="preserve">▸  Proteger la reputación e integridad operativa de VIP PASS, sus directivos, colaboradores, accionistas y contrapartes.</w:t>
      </w:r>
    </w:p>
    <w:p>
      <w:pPr>
        <w:pBdr>
          <w:bottom w:val="single" w:color="122EEF" w:sz="6"/>
        </w:pBdr>
        <w:spacing w:after="180" w:before="400"/>
      </w:pPr>
      <w:r>
        <w:rPr>
          <w:rFonts w:ascii="Calibri" w:cs="Calibri" w:eastAsia="Calibri" w:hAnsi="Calibri"/>
          <w:b/>
          <w:bCs/>
          <w:color w:val="111827"/>
          <w:sz w:val="28"/>
          <w:szCs w:val="28"/>
        </w:rPr>
        <w:t xml:space="preserve">1.2 Diferencia entre SAGRILAFT y SARLAFT</w:t>
      </w:r>
    </w:p>
    <w:p>
      <w:pPr>
        <w:spacing w:after="80" w:before="8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dxa" w:w="2200"/>
            <w:shd w:fill="122EEF" w:color="auto" w:val="clear"/>
          </w:tcPr>
          <w:p>
            <w:pPr>
              <w:jc w:val="center"/>
            </w:pPr>
            <w:r>
              <w:rPr>
                <w:rFonts w:ascii="Calibri" w:cs="Calibri" w:eastAsia="Calibri" w:hAnsi="Calibri"/>
                <w:b/>
                <w:bCs/>
                <w:color w:val="FFFFFF"/>
                <w:sz w:val="19"/>
                <w:szCs w:val="19"/>
              </w:rPr>
              <w:t xml:space="preserve">Criterio</w:t>
            </w:r>
          </w:p>
        </w:tc>
        <w:tc>
          <w:tcPr>
            <w:tcW w:type="dxa" w:w="3400"/>
            <w:shd w:fill="122EEF" w:color="auto" w:val="clear"/>
          </w:tcPr>
          <w:p>
            <w:pPr>
              <w:jc w:val="center"/>
            </w:pPr>
            <w:r>
              <w:rPr>
                <w:rFonts w:ascii="Calibri" w:cs="Calibri" w:eastAsia="Calibri" w:hAnsi="Calibri"/>
                <w:b/>
                <w:bCs/>
                <w:color w:val="FFFFFF"/>
                <w:sz w:val="19"/>
                <w:szCs w:val="19"/>
              </w:rPr>
              <w:t xml:space="preserve">SAGRILAFT</w:t>
            </w:r>
          </w:p>
        </w:tc>
        <w:tc>
          <w:tcPr>
            <w:tcW w:type="dxa" w:w="3400"/>
            <w:shd w:fill="122EEF" w:color="auto" w:val="clear"/>
          </w:tcPr>
          <w:p>
            <w:pPr>
              <w:jc w:val="center"/>
            </w:pPr>
            <w:r>
              <w:rPr>
                <w:rFonts w:ascii="Calibri" w:cs="Calibri" w:eastAsia="Calibri" w:hAnsi="Calibri"/>
                <w:b/>
                <w:bCs/>
                <w:color w:val="FFFFFF"/>
                <w:sz w:val="19"/>
                <w:szCs w:val="19"/>
              </w:rPr>
              <w:t xml:space="preserve">SARLAFT</w:t>
            </w:r>
          </w:p>
        </w:tc>
      </w:tr>
      <w:tr>
        <w:tc>
          <w:tcPr>
            <w:tcW w:type="dxa" w:w="2200"/>
            <w:shd w:fill="F9FAFB" w:color="auto" w:val="clear"/>
          </w:tcPr>
          <w:p>
            <w:pPr>
              <w:jc w:val="both"/>
            </w:pPr>
            <w:r>
              <w:rPr>
                <w:rFonts w:ascii="Calibri" w:cs="Calibri" w:eastAsia="Calibri" w:hAnsi="Calibri"/>
                <w:color w:val="111827"/>
                <w:sz w:val="18"/>
                <w:szCs w:val="18"/>
              </w:rPr>
              <w:t xml:space="preserve">¿Qué es?</w:t>
            </w:r>
          </w:p>
        </w:tc>
        <w:tc>
          <w:tcPr>
            <w:tcW w:type="dxa" w:w="3400"/>
            <w:shd w:fill="F9FAFB" w:color="auto" w:val="clear"/>
          </w:tcPr>
          <w:p>
            <w:pPr>
              <w:jc w:val="both"/>
            </w:pPr>
            <w:r>
              <w:rPr>
                <w:rFonts w:ascii="Calibri" w:cs="Calibri" w:eastAsia="Calibri" w:hAnsi="Calibri"/>
                <w:color w:val="111827"/>
                <w:sz w:val="18"/>
                <w:szCs w:val="18"/>
              </w:rPr>
              <w:t xml:space="preserve">Sistema de Autocontrol y Gestión del Riesgo Integral LA/FT/FPADM</w:t>
            </w:r>
          </w:p>
        </w:tc>
        <w:tc>
          <w:tcPr>
            <w:tcW w:type="dxa" w:w="3400"/>
            <w:shd w:fill="F9FAFB" w:color="auto" w:val="clear"/>
          </w:tcPr>
          <w:p>
            <w:pPr>
              <w:jc w:val="both"/>
            </w:pPr>
            <w:r>
              <w:rPr>
                <w:rFonts w:ascii="Calibri" w:cs="Calibri" w:eastAsia="Calibri" w:hAnsi="Calibri"/>
                <w:color w:val="111827"/>
                <w:sz w:val="18"/>
                <w:szCs w:val="18"/>
              </w:rPr>
              <w:t xml:space="preserve">Sistema de Administración del Riesgo de LA/FT</w:t>
            </w:r>
          </w:p>
        </w:tc>
      </w:tr>
      <w:tr>
        <w:tc>
          <w:tcPr>
            <w:tcW w:type="dxa" w:w="2200"/>
            <w:shd w:fill="FFFFFF" w:color="auto" w:val="clear"/>
          </w:tcPr>
          <w:p>
            <w:pPr>
              <w:jc w:val="both"/>
            </w:pPr>
            <w:r>
              <w:rPr>
                <w:rFonts w:ascii="Calibri" w:cs="Calibri" w:eastAsia="Calibri" w:hAnsi="Calibri"/>
                <w:color w:val="111827"/>
                <w:sz w:val="18"/>
                <w:szCs w:val="18"/>
              </w:rPr>
              <w:t xml:space="preserve">Sujetos obligados</w:t>
            </w:r>
          </w:p>
        </w:tc>
        <w:tc>
          <w:tcPr>
            <w:tcW w:type="dxa" w:w="3400"/>
            <w:shd w:fill="FFFFFF" w:color="auto" w:val="clear"/>
          </w:tcPr>
          <w:p>
            <w:pPr>
              <w:jc w:val="both"/>
            </w:pPr>
            <w:r>
              <w:rPr>
                <w:rFonts w:ascii="Calibri" w:cs="Calibri" w:eastAsia="Calibri" w:hAnsi="Calibri"/>
                <w:color w:val="111827"/>
                <w:sz w:val="18"/>
                <w:szCs w:val="18"/>
              </w:rPr>
              <w:t xml:space="preserve">Empresas del sector real vigiladas por la Superintendencia de Sociedades</w:t>
            </w:r>
          </w:p>
        </w:tc>
        <w:tc>
          <w:tcPr>
            <w:tcW w:type="dxa" w:w="3400"/>
            <w:shd w:fill="FFFFFF" w:color="auto" w:val="clear"/>
          </w:tcPr>
          <w:p>
            <w:pPr>
              <w:jc w:val="both"/>
            </w:pPr>
            <w:r>
              <w:rPr>
                <w:rFonts w:ascii="Calibri" w:cs="Calibri" w:eastAsia="Calibri" w:hAnsi="Calibri"/>
                <w:color w:val="111827"/>
                <w:sz w:val="18"/>
                <w:szCs w:val="18"/>
              </w:rPr>
              <w:t xml:space="preserve">Entidades del sector financiero vigiladas por la Superintendencia Financiera (bancos, fiduciarias, aseguradoras, cooperativas financieras)</w:t>
            </w:r>
          </w:p>
        </w:tc>
      </w:tr>
      <w:tr>
        <w:tc>
          <w:tcPr>
            <w:tcW w:type="dxa" w:w="2200"/>
            <w:shd w:fill="F9FAFB" w:color="auto" w:val="clear"/>
          </w:tcPr>
          <w:p>
            <w:pPr>
              <w:jc w:val="both"/>
            </w:pPr>
            <w:r>
              <w:rPr>
                <w:rFonts w:ascii="Calibri" w:cs="Calibri" w:eastAsia="Calibri" w:hAnsi="Calibri"/>
                <w:color w:val="111827"/>
                <w:sz w:val="18"/>
                <w:szCs w:val="18"/>
              </w:rPr>
              <w:t xml:space="preserve">Norma base</w:t>
            </w:r>
          </w:p>
        </w:tc>
        <w:tc>
          <w:tcPr>
            <w:tcW w:type="dxa" w:w="3400"/>
            <w:shd w:fill="F9FAFB" w:color="auto" w:val="clear"/>
          </w:tcPr>
          <w:p>
            <w:pPr>
              <w:jc w:val="both"/>
            </w:pPr>
            <w:r>
              <w:rPr>
                <w:rFonts w:ascii="Calibri" w:cs="Calibri" w:eastAsia="Calibri" w:hAnsi="Calibri"/>
                <w:color w:val="111827"/>
                <w:sz w:val="18"/>
                <w:szCs w:val="18"/>
              </w:rPr>
              <w:t xml:space="preserve">Circular Externa 100-000016 de 2020 — Capítulo X Circular Básica Jurídica Supersociedades</w:t>
            </w:r>
          </w:p>
        </w:tc>
        <w:tc>
          <w:tcPr>
            <w:tcW w:type="dxa" w:w="3400"/>
            <w:shd w:fill="F9FAFB" w:color="auto" w:val="clear"/>
          </w:tcPr>
          <w:p>
            <w:pPr>
              <w:jc w:val="both"/>
            </w:pPr>
            <w:r>
              <w:rPr>
                <w:rFonts w:ascii="Calibri" w:cs="Calibri" w:eastAsia="Calibri" w:hAnsi="Calibri"/>
                <w:color w:val="111827"/>
                <w:sz w:val="18"/>
                <w:szCs w:val="18"/>
              </w:rPr>
              <w:t xml:space="preserve">Circular Externa 029 de 2014 Superfinanciera y normas concordantes</w:t>
            </w:r>
          </w:p>
        </w:tc>
      </w:tr>
      <w:tr>
        <w:tc>
          <w:tcPr>
            <w:tcW w:type="dxa" w:w="2200"/>
            <w:shd w:fill="FFFFFF" w:color="auto" w:val="clear"/>
          </w:tcPr>
          <w:p>
            <w:pPr>
              <w:jc w:val="both"/>
            </w:pPr>
            <w:r>
              <w:rPr>
                <w:rFonts w:ascii="Calibri" w:cs="Calibri" w:eastAsia="Calibri" w:hAnsi="Calibri"/>
                <w:color w:val="111827"/>
                <w:sz w:val="18"/>
                <w:szCs w:val="18"/>
              </w:rPr>
              <w:t xml:space="preserve">¿Aplica a VIP PASS?</w:t>
            </w:r>
          </w:p>
        </w:tc>
        <w:tc>
          <w:tcPr>
            <w:tcW w:type="dxa" w:w="3400"/>
            <w:shd w:fill="FFFFFF" w:color="auto" w:val="clear"/>
          </w:tcPr>
          <w:p>
            <w:pPr>
              <w:jc w:val="both"/>
            </w:pPr>
            <w:r>
              <w:rPr>
                <w:rFonts w:ascii="Calibri" w:cs="Calibri" w:eastAsia="Calibri" w:hAnsi="Calibri"/>
                <w:color w:val="111827"/>
                <w:sz w:val="18"/>
                <w:szCs w:val="18"/>
              </w:rPr>
              <w:t xml:space="preserve">SÍ — como empresa del sector real vigilada por Supersociedades (si supera los umbrales de ingresos/activos)</w:t>
            </w:r>
          </w:p>
        </w:tc>
        <w:tc>
          <w:tcPr>
            <w:tcW w:type="dxa" w:w="3400"/>
            <w:shd w:fill="FFFFFF" w:color="auto" w:val="clear"/>
          </w:tcPr>
          <w:p>
            <w:pPr>
              <w:jc w:val="both"/>
            </w:pPr>
            <w:r>
              <w:rPr>
                <w:rFonts w:ascii="Calibri" w:cs="Calibri" w:eastAsia="Calibri" w:hAnsi="Calibri"/>
                <w:color w:val="111827"/>
                <w:sz w:val="18"/>
                <w:szCs w:val="18"/>
              </w:rPr>
              <w:t xml:space="preserve">NO directamente — aplica a la pasarela de pago/banco que procesa las transacciones de VIP PASS</w:t>
            </w:r>
          </w:p>
        </w:tc>
      </w:tr>
      <w:tr>
        <w:tc>
          <w:tcPr>
            <w:tcW w:type="dxa" w:w="2200"/>
            <w:shd w:fill="F9FAFB" w:color="auto" w:val="clear"/>
          </w:tcPr>
          <w:p>
            <w:pPr>
              <w:jc w:val="both"/>
            </w:pPr>
            <w:r>
              <w:rPr>
                <w:rFonts w:ascii="Calibri" w:cs="Calibri" w:eastAsia="Calibri" w:hAnsi="Calibri"/>
                <w:color w:val="111827"/>
                <w:sz w:val="18"/>
                <w:szCs w:val="18"/>
              </w:rPr>
              <w:t xml:space="preserve">Elementos</w:t>
            </w:r>
          </w:p>
        </w:tc>
        <w:tc>
          <w:tcPr>
            <w:tcW w:type="dxa" w:w="3400"/>
            <w:shd w:fill="F9FAFB" w:color="auto" w:val="clear"/>
          </w:tcPr>
          <w:p>
            <w:pPr>
              <w:jc w:val="both"/>
            </w:pPr>
            <w:r>
              <w:rPr>
                <w:rFonts w:ascii="Calibri" w:cs="Calibri" w:eastAsia="Calibri" w:hAnsi="Calibri"/>
                <w:color w:val="111827"/>
                <w:sz w:val="18"/>
                <w:szCs w:val="18"/>
              </w:rPr>
              <w:t xml:space="preserve">4 elementos: diseño/aprobación; supervisión/cumplimiento; divulgación/capacitación; asignación de funciones</w:t>
            </w:r>
          </w:p>
        </w:tc>
        <w:tc>
          <w:tcPr>
            <w:tcW w:type="dxa" w:w="3400"/>
            <w:shd w:fill="F9FAFB" w:color="auto" w:val="clear"/>
          </w:tcPr>
          <w:p>
            <w:pPr>
              <w:jc w:val="both"/>
            </w:pPr>
            <w:r>
              <w:rPr>
                <w:rFonts w:ascii="Calibri" w:cs="Calibri" w:eastAsia="Calibri" w:hAnsi="Calibri"/>
                <w:color w:val="111827"/>
                <w:sz w:val="18"/>
                <w:szCs w:val="18"/>
              </w:rPr>
              <w:t xml:space="preserve">8 elementos: políticas; procedimientos; documentación; estructura organizacional; órganos de control; tecnología; divulgación; capacitación</w:t>
            </w:r>
          </w:p>
        </w:tc>
      </w:tr>
      <w:tr>
        <w:tc>
          <w:tcPr>
            <w:tcW w:type="dxa" w:w="2200"/>
            <w:shd w:fill="FFFFFF" w:color="auto" w:val="clear"/>
          </w:tcPr>
          <w:p>
            <w:pPr>
              <w:jc w:val="both"/>
            </w:pPr>
            <w:r>
              <w:rPr>
                <w:rFonts w:ascii="Calibri" w:cs="Calibri" w:eastAsia="Calibri" w:hAnsi="Calibri"/>
                <w:color w:val="111827"/>
                <w:sz w:val="18"/>
                <w:szCs w:val="18"/>
              </w:rPr>
              <w:t xml:space="preserve">Reporte a UIAF</w:t>
            </w:r>
          </w:p>
        </w:tc>
        <w:tc>
          <w:tcPr>
            <w:tcW w:type="dxa" w:w="3400"/>
            <w:shd w:fill="FFFFFF" w:color="auto" w:val="clear"/>
          </w:tcPr>
          <w:p>
            <w:pPr>
              <w:jc w:val="both"/>
            </w:pPr>
            <w:r>
              <w:rPr>
                <w:rFonts w:ascii="Calibri" w:cs="Calibri" w:eastAsia="Calibri" w:hAnsi="Calibri"/>
                <w:color w:val="111827"/>
                <w:sz w:val="18"/>
                <w:szCs w:val="18"/>
              </w:rPr>
              <w:t xml:space="preserve">ROS (Reporte de Operaciones Sospechosas) e Informe 75 ante Supersociedades</w:t>
            </w:r>
          </w:p>
        </w:tc>
        <w:tc>
          <w:tcPr>
            <w:tcW w:type="dxa" w:w="3400"/>
            <w:shd w:fill="FFFFFF" w:color="auto" w:val="clear"/>
          </w:tcPr>
          <w:p>
            <w:pPr>
              <w:jc w:val="both"/>
            </w:pPr>
            <w:r>
              <w:rPr>
                <w:rFonts w:ascii="Calibri" w:cs="Calibri" w:eastAsia="Calibri" w:hAnsi="Calibri"/>
                <w:color w:val="111827"/>
                <w:sz w:val="18"/>
                <w:szCs w:val="18"/>
              </w:rPr>
              <w:t xml:space="preserve">ROS y reportes periódicos ante la Superfinanciera</w:t>
            </w:r>
          </w:p>
        </w:tc>
      </w:tr>
    </w:tbl>
    <w:p>
      <w:pPr>
        <w:spacing w:after="80" w:before="80"/>
      </w:pPr>
    </w:p>
    <w:p>
      <w:pPr>
        <w:spacing w:after="100" w:before="100"/>
        <w:ind w:left="400"/>
        <w:jc w:val="both"/>
      </w:pPr>
      <w:r>
        <w:rPr>
          <w:rFonts w:ascii="Calibri" w:cs="Calibri" w:eastAsia="Calibri" w:hAnsi="Calibri"/>
          <w:i/>
          <w:iCs/>
          <w:color w:val="B45309"/>
          <w:sz w:val="19"/>
          <w:szCs w:val="19"/>
        </w:rPr>
        <w:t xml:space="preserve">⚠  VIP PASS adopta el presente Manual bajo el esquema SAGRILAFT (Supersociedades), que es el aplicable a las empresas del sector real. No obstante, se incorporan mejores prácticas del SARLAFT (Superfinanciera) por la naturaleza transaccional de la actividad de venta de boletería electrónica, que implica el manejo de flujos de dinero significativos y múltiples contrapartes.</w:t>
      </w:r>
    </w:p>
    <w:p>
      <w:pPr>
        <w:pBdr>
          <w:bottom w:val="single" w:color="122EEF" w:sz="6"/>
        </w:pBdr>
        <w:spacing w:after="180" w:before="400"/>
      </w:pPr>
      <w:r>
        <w:rPr>
          <w:rFonts w:ascii="Calibri" w:cs="Calibri" w:eastAsia="Calibri" w:hAnsi="Calibri"/>
          <w:b/>
          <w:bCs/>
          <w:color w:val="111827"/>
          <w:sz w:val="28"/>
          <w:szCs w:val="28"/>
        </w:rPr>
        <w:t xml:space="preserve">1.3 Umbral de obligatoriedad SAGRILAFT</w:t>
      </w:r>
    </w:p>
    <w:p>
      <w:pPr>
        <w:spacing w:after="80" w:before="80"/>
        <w:jc w:val="both"/>
      </w:pPr>
      <w:r>
        <w:rPr>
          <w:rFonts w:ascii="Calibri" w:cs="Calibri" w:eastAsia="Calibri" w:hAnsi="Calibri"/>
          <w:color w:val="111827"/>
          <w:sz w:val="20"/>
          <w:szCs w:val="20"/>
        </w:rPr>
        <w:t xml:space="preserve">Conforme a la Circular Externa 100-000016 de 2020 (Capítulo X de la Circular Básica Jurídica de la Superintendencia de Sociedades), VIP PASS estará obligado a implementar el SAGRILAFT Integral cuando, al 31 de diciembre del año inmediatamente anterior, haya obtenido:</w:t>
      </w:r>
    </w:p>
    <w:p>
      <w:pPr>
        <w:spacing w:after="65" w:before="65"/>
        <w:ind w:left="500"/>
        <w:jc w:val="both"/>
      </w:pPr>
      <w:r>
        <w:rPr>
          <w:rFonts w:ascii="Calibri" w:cs="Calibri" w:eastAsia="Calibri" w:hAnsi="Calibri"/>
          <w:color w:val="111827"/>
          <w:sz w:val="20"/>
          <w:szCs w:val="20"/>
        </w:rPr>
        <w:t xml:space="preserve">▸  Ingresos totales o activos iguales o superiores a cuarenta mil (40.000) SMMLV (equivalente aproximado: $52.000 millones de pesos para 2025).</w:t>
      </w:r>
    </w:p>
    <w:p>
      <w:pPr>
        <w:spacing w:after="80" w:before="80"/>
        <w:jc w:val="both"/>
      </w:pPr>
      <w:r>
        <w:rPr>
          <w:rFonts w:ascii="Calibri" w:cs="Calibri" w:eastAsia="Calibri" w:hAnsi="Calibri"/>
          <w:color w:val="111827"/>
          <w:sz w:val="20"/>
          <w:szCs w:val="20"/>
        </w:rPr>
        <w:t xml:space="preserve">Entre 9.000 y 40.000 SMMLV aplica el Régimen de Medidas Mínimas (numeral 6 del Capítulo X). Por debajo de 9.000 SMMLV la empresa aplica controles básicos de forma voluntaria. VIP PASS implementa este Manual de manera proactiva, independientemente del umbral, como buena práctica de gobierno corporativo y dada la naturaleza transaccional de su actividad.</w:t>
      </w:r>
    </w:p>
    <w:p>
      <w:pPr>
        <w:spacing w:after="80" w:before="80"/>
        <w:ind w:left="360"/>
        <w:jc w:val="both"/>
      </w:pPr>
      <w:r>
        <w:rPr>
          <w:rFonts w:ascii="Calibri" w:cs="Calibri" w:eastAsia="Calibri" w:hAnsi="Calibri"/>
          <w:i/>
          <w:iCs/>
          <w:color w:val="6B7280"/>
          <w:sz w:val="18"/>
          <w:szCs w:val="18"/>
        </w:rPr>
        <w:t xml:space="preserve">ℹ  Plazo de implementación: las empresas que alcancen la calidad de obligadas deben poner en marcha el SAGRILAFT a más tardar el 31 de mayo del año siguiente al que adquirieron la obligación.</w:t>
      </w:r>
    </w:p>
    <w:p>
      <w:pPr>
        <w:pBdr>
          <w:bottom w:val="single" w:color="122EEF" w:sz="6"/>
        </w:pBdr>
        <w:spacing w:after="180" w:before="400"/>
      </w:pPr>
      <w:r>
        <w:rPr>
          <w:rFonts w:ascii="Calibri" w:cs="Calibri" w:eastAsia="Calibri" w:hAnsi="Calibri"/>
          <w:b/>
          <w:bCs/>
          <w:color w:val="111827"/>
          <w:sz w:val="28"/>
          <w:szCs w:val="28"/>
        </w:rPr>
        <w:t xml:space="preserve">1.4 Marco Normativo</w:t>
      </w:r>
    </w:p>
    <w:p>
      <w:pPr>
        <w:spacing w:after="80" w:before="80"/>
        <w:ind w:left="360"/>
        <w:jc w:val="both"/>
      </w:pPr>
      <w:r>
        <w:rPr>
          <w:rFonts w:ascii="Calibri" w:cs="Calibri" w:eastAsia="Calibri" w:hAnsi="Calibri"/>
          <w:b/>
          <w:bCs/>
          <w:color w:val="122EEF"/>
          <w:sz w:val="20"/>
          <w:szCs w:val="20"/>
        </w:rPr>
        <w:t xml:space="preserve">◉ Ley 526 de 1999: </w:t>
      </w:r>
      <w:r>
        <w:rPr>
          <w:rFonts w:ascii="Calibri" w:cs="Calibri" w:eastAsia="Calibri" w:hAnsi="Calibri"/>
          <w:color w:val="111827"/>
          <w:sz w:val="20"/>
          <w:szCs w:val="20"/>
        </w:rPr>
        <w:t xml:space="preserve">Creación de la Unidad de Información y Análisis Financiero (UIAF).</w:t>
      </w:r>
    </w:p>
    <w:p>
      <w:pPr>
        <w:spacing w:after="80" w:before="80"/>
        <w:ind w:left="360"/>
        <w:jc w:val="both"/>
      </w:pPr>
      <w:r>
        <w:rPr>
          <w:rFonts w:ascii="Calibri" w:cs="Calibri" w:eastAsia="Calibri" w:hAnsi="Calibri"/>
          <w:b/>
          <w:bCs/>
          <w:color w:val="122EEF"/>
          <w:sz w:val="20"/>
          <w:szCs w:val="20"/>
        </w:rPr>
        <w:t xml:space="preserve">◉ Ley 599 de 2000 — Código Penal (Arts. 323-325): </w:t>
      </w:r>
      <w:r>
        <w:rPr>
          <w:rFonts w:ascii="Calibri" w:cs="Calibri" w:eastAsia="Calibri" w:hAnsi="Calibri"/>
          <w:color w:val="111827"/>
          <w:sz w:val="20"/>
          <w:szCs w:val="20"/>
        </w:rPr>
        <w:t xml:space="preserve">Tipificación del delito de lavado de activos.</w:t>
      </w:r>
    </w:p>
    <w:p>
      <w:pPr>
        <w:spacing w:after="80" w:before="80"/>
        <w:ind w:left="360"/>
        <w:jc w:val="both"/>
      </w:pPr>
      <w:r>
        <w:rPr>
          <w:rFonts w:ascii="Calibri" w:cs="Calibri" w:eastAsia="Calibri" w:hAnsi="Calibri"/>
          <w:b/>
          <w:bCs/>
          <w:color w:val="122EEF"/>
          <w:sz w:val="20"/>
          <w:szCs w:val="20"/>
        </w:rPr>
        <w:t xml:space="preserve">◉ Ley 600 de 2000 / Ley 906 de 2004: </w:t>
      </w:r>
      <w:r>
        <w:rPr>
          <w:rFonts w:ascii="Calibri" w:cs="Calibri" w:eastAsia="Calibri" w:hAnsi="Calibri"/>
          <w:color w:val="111827"/>
          <w:sz w:val="20"/>
          <w:szCs w:val="20"/>
        </w:rPr>
        <w:t xml:space="preserve">Código de Procedimiento Penal. Obligación de denuncia.</w:t>
      </w:r>
    </w:p>
    <w:p>
      <w:pPr>
        <w:spacing w:after="80" w:before="80"/>
        <w:ind w:left="360"/>
        <w:jc w:val="both"/>
      </w:pPr>
      <w:r>
        <w:rPr>
          <w:rFonts w:ascii="Calibri" w:cs="Calibri" w:eastAsia="Calibri" w:hAnsi="Calibri"/>
          <w:b/>
          <w:bCs/>
          <w:color w:val="122EEF"/>
          <w:sz w:val="20"/>
          <w:szCs w:val="20"/>
        </w:rPr>
        <w:t xml:space="preserve">◉ Ley 800 de 2003: </w:t>
      </w:r>
      <w:r>
        <w:rPr>
          <w:rFonts w:ascii="Calibri" w:cs="Calibri" w:eastAsia="Calibri" w:hAnsi="Calibri"/>
          <w:color w:val="111827"/>
          <w:sz w:val="20"/>
          <w:szCs w:val="20"/>
        </w:rPr>
        <w:t xml:space="preserve">Aprobación de la Convención de Palermo contra la Delincuencia Organizada Transnacional.</w:t>
      </w:r>
    </w:p>
    <w:p>
      <w:pPr>
        <w:spacing w:after="80" w:before="80"/>
        <w:ind w:left="360"/>
        <w:jc w:val="both"/>
      </w:pPr>
      <w:r>
        <w:rPr>
          <w:rFonts w:ascii="Calibri" w:cs="Calibri" w:eastAsia="Calibri" w:hAnsi="Calibri"/>
          <w:b/>
          <w:bCs/>
          <w:color w:val="122EEF"/>
          <w:sz w:val="20"/>
          <w:szCs w:val="20"/>
        </w:rPr>
        <w:t xml:space="preserve">◉ Ley 1121 de 2006: </w:t>
      </w:r>
      <w:r>
        <w:rPr>
          <w:rFonts w:ascii="Calibri" w:cs="Calibri" w:eastAsia="Calibri" w:hAnsi="Calibri"/>
          <w:color w:val="111827"/>
          <w:sz w:val="20"/>
          <w:szCs w:val="20"/>
        </w:rPr>
        <w:t xml:space="preserve">Disposiciones para la prevención, detección, investigación y sanción del financiamiento del terrorismo.</w:t>
      </w:r>
    </w:p>
    <w:p>
      <w:pPr>
        <w:spacing w:after="80" w:before="80"/>
        <w:ind w:left="360"/>
        <w:jc w:val="both"/>
      </w:pPr>
      <w:r>
        <w:rPr>
          <w:rFonts w:ascii="Calibri" w:cs="Calibri" w:eastAsia="Calibri" w:hAnsi="Calibri"/>
          <w:b/>
          <w:bCs/>
          <w:color w:val="122EEF"/>
          <w:sz w:val="20"/>
          <w:szCs w:val="20"/>
        </w:rPr>
        <w:t xml:space="preserve">◉ Ley 1762 de 2015: </w:t>
      </w:r>
      <w:r>
        <w:rPr>
          <w:rFonts w:ascii="Calibri" w:cs="Calibri" w:eastAsia="Calibri" w:hAnsi="Calibri"/>
          <w:color w:val="111827"/>
          <w:sz w:val="20"/>
          <w:szCs w:val="20"/>
        </w:rPr>
        <w:t xml:space="preserve">Herramientas para combinar el contrabando, el lavado de activos y la evasión fiscal.</w:t>
      </w:r>
    </w:p>
    <w:p>
      <w:pPr>
        <w:spacing w:after="80" w:before="80"/>
        <w:ind w:left="360"/>
        <w:jc w:val="both"/>
      </w:pPr>
      <w:r>
        <w:rPr>
          <w:rFonts w:ascii="Calibri" w:cs="Calibri" w:eastAsia="Calibri" w:hAnsi="Calibri"/>
          <w:b/>
          <w:bCs/>
          <w:color w:val="122EEF"/>
          <w:sz w:val="20"/>
          <w:szCs w:val="20"/>
        </w:rPr>
        <w:t xml:space="preserve">◉ Ley 1778 de 2016 — Responsabilidad de personas jurídicas por cohecho: </w:t>
      </w:r>
      <w:r>
        <w:rPr>
          <w:rFonts w:ascii="Calibri" w:cs="Calibri" w:eastAsia="Calibri" w:hAnsi="Calibri"/>
          <w:color w:val="111827"/>
          <w:sz w:val="20"/>
          <w:szCs w:val="20"/>
        </w:rPr>
        <w:t xml:space="preserve">Sanciones a empresas por actos de corrupción transnacional. Vinculada al riesgo FPADM.</w:t>
      </w:r>
    </w:p>
    <w:p>
      <w:pPr>
        <w:spacing w:after="80" w:before="80"/>
        <w:ind w:left="360"/>
        <w:jc w:val="both"/>
      </w:pPr>
      <w:r>
        <w:rPr>
          <w:rFonts w:ascii="Calibri" w:cs="Calibri" w:eastAsia="Calibri" w:hAnsi="Calibri"/>
          <w:b/>
          <w:bCs/>
          <w:color w:val="122EEF"/>
          <w:sz w:val="20"/>
          <w:szCs w:val="20"/>
        </w:rPr>
        <w:t xml:space="preserve">◉ Decreto 1674 de 2021: </w:t>
      </w:r>
      <w:r>
        <w:rPr>
          <w:rFonts w:ascii="Calibri" w:cs="Calibri" w:eastAsia="Calibri" w:hAnsi="Calibri"/>
          <w:color w:val="111827"/>
          <w:sz w:val="20"/>
          <w:szCs w:val="20"/>
        </w:rPr>
        <w:t xml:space="preserve">Normas sobre lavado de activos, financiación del terrorismo y proliferación de armas.</w:t>
      </w:r>
    </w:p>
    <w:p>
      <w:pPr>
        <w:spacing w:after="80" w:before="80"/>
        <w:ind w:left="360"/>
        <w:jc w:val="both"/>
      </w:pPr>
      <w:r>
        <w:rPr>
          <w:rFonts w:ascii="Calibri" w:cs="Calibri" w:eastAsia="Calibri" w:hAnsi="Calibri"/>
          <w:b/>
          <w:bCs/>
          <w:color w:val="122EEF"/>
          <w:sz w:val="20"/>
          <w:szCs w:val="20"/>
        </w:rPr>
        <w:t xml:space="preserve">◉ Circular Externa Supersociedades 100-000016 de 2020: </w:t>
      </w:r>
      <w:r>
        <w:rPr>
          <w:rFonts w:ascii="Calibri" w:cs="Calibri" w:eastAsia="Calibri" w:hAnsi="Calibri"/>
          <w:color w:val="111827"/>
          <w:sz w:val="20"/>
          <w:szCs w:val="20"/>
        </w:rPr>
        <w:t xml:space="preserve">Marco principal SAGRILAFT: obligaciones, elementos, umbrales, Oficial de Cumplimiento, reportes.</w:t>
      </w:r>
    </w:p>
    <w:p>
      <w:pPr>
        <w:spacing w:after="80" w:before="80"/>
        <w:ind w:left="360"/>
        <w:jc w:val="both"/>
      </w:pPr>
      <w:r>
        <w:rPr>
          <w:rFonts w:ascii="Calibri" w:cs="Calibri" w:eastAsia="Calibri" w:hAnsi="Calibri"/>
          <w:b/>
          <w:bCs/>
          <w:color w:val="122EEF"/>
          <w:sz w:val="20"/>
          <w:szCs w:val="20"/>
        </w:rPr>
        <w:t xml:space="preserve">◉ Circular Externa Supersociedades 100-000004 de 2021 y 2023: </w:t>
      </w:r>
      <w:r>
        <w:rPr>
          <w:rFonts w:ascii="Calibri" w:cs="Calibri" w:eastAsia="Calibri" w:hAnsi="Calibri"/>
          <w:color w:val="111827"/>
          <w:sz w:val="20"/>
          <w:szCs w:val="20"/>
        </w:rPr>
        <w:t xml:space="preserve">Modificaciones y extensiones del SAGRILAFT. Cámaras de Comercio y sectores adicionales.</w:t>
      </w:r>
    </w:p>
    <w:p>
      <w:pPr>
        <w:spacing w:after="80" w:before="80"/>
        <w:ind w:left="360"/>
        <w:jc w:val="both"/>
      </w:pPr>
      <w:r>
        <w:rPr>
          <w:rFonts w:ascii="Calibri" w:cs="Calibri" w:eastAsia="Calibri" w:hAnsi="Calibri"/>
          <w:b/>
          <w:bCs/>
          <w:color w:val="122EEF"/>
          <w:sz w:val="20"/>
          <w:szCs w:val="20"/>
        </w:rPr>
        <w:t xml:space="preserve">◉ Circular Externa Supersociedades 100-000011 de 2021 — PTEE: </w:t>
      </w:r>
      <w:r>
        <w:rPr>
          <w:rFonts w:ascii="Calibri" w:cs="Calibri" w:eastAsia="Calibri" w:hAnsi="Calibri"/>
          <w:color w:val="111827"/>
          <w:sz w:val="20"/>
          <w:szCs w:val="20"/>
        </w:rPr>
        <w:t xml:space="preserve">Programa de Transparencia y Ética Empresarial (para empresas con transacciones internacionales ≥ 100 SMMLV e ingresos ≥ 30.000 SMMLV).</w:t>
      </w:r>
    </w:p>
    <w:p>
      <w:pPr>
        <w:spacing w:after="80" w:before="80"/>
        <w:ind w:left="360"/>
        <w:jc w:val="both"/>
      </w:pPr>
      <w:r>
        <w:rPr>
          <w:rFonts w:ascii="Calibri" w:cs="Calibri" w:eastAsia="Calibri" w:hAnsi="Calibri"/>
          <w:b/>
          <w:bCs/>
          <w:color w:val="122EEF"/>
          <w:sz w:val="20"/>
          <w:szCs w:val="20"/>
        </w:rPr>
        <w:t xml:space="preserve">◉ Recomendaciones GAFI (Grupo de Acción Financiera Internacional): </w:t>
      </w:r>
      <w:r>
        <w:rPr>
          <w:rFonts w:ascii="Calibri" w:cs="Calibri" w:eastAsia="Calibri" w:hAnsi="Calibri"/>
          <w:color w:val="111827"/>
          <w:sz w:val="20"/>
          <w:szCs w:val="20"/>
        </w:rPr>
        <w:t xml:space="preserve">40 Recomendaciones para la prevención del lavado de activos y financiamiento del terrorismo. Marco internacional adoptado por Colombia.</w:t>
      </w:r>
    </w:p>
    <w:p>
      <w:pPr>
        <w:spacing w:after="80" w:before="80"/>
        <w:ind w:left="360"/>
        <w:jc w:val="both"/>
      </w:pPr>
      <w:r>
        <w:rPr>
          <w:rFonts w:ascii="Calibri" w:cs="Calibri" w:eastAsia="Calibri" w:hAnsi="Calibri"/>
          <w:b/>
          <w:bCs/>
          <w:color w:val="122EEF"/>
          <w:sz w:val="20"/>
          <w:szCs w:val="20"/>
        </w:rPr>
        <w:t xml:space="preserve">◉ Listas restrictivas internacionales: </w:t>
      </w:r>
      <w:r>
        <w:rPr>
          <w:rFonts w:ascii="Calibri" w:cs="Calibri" w:eastAsia="Calibri" w:hAnsi="Calibri"/>
          <w:color w:val="111827"/>
          <w:sz w:val="20"/>
          <w:szCs w:val="20"/>
        </w:rPr>
        <w:t xml:space="preserve">OFAC (Oficina de Control de Activos Extranjeros, EE.UU.); Listas consolidadas de sanciones de la ONU; Lista de la Unión Europea; Lista del Consejo de Seguridad de la ONU.</w:t>
      </w:r>
    </w:p>
    <w:p>
      <w:pPr>
        <w:pBdr>
          <w:bottom w:val="thick" w:color="122EEF" w:sz="10"/>
        </w:pBdr>
        <w:spacing w:after="260" w:before="600"/>
      </w:pPr>
      <w:r>
        <w:rPr>
          <w:rFonts w:ascii="Calibri" w:cs="Calibri" w:eastAsia="Calibri" w:hAnsi="Calibri"/>
          <w:b/>
          <w:bCs/>
          <w:color w:val="122EEF"/>
          <w:sz w:val="38"/>
          <w:szCs w:val="38"/>
        </w:rPr>
        <w:t xml:space="preserve">2. DEFINICIONES</w:t>
      </w:r>
    </w:p>
    <w:p>
      <w:pPr>
        <w:spacing w:after="65" w:before="65"/>
        <w:ind w:left="500"/>
        <w:jc w:val="both"/>
      </w:pPr>
      <w:r>
        <w:rPr>
          <w:rFonts w:ascii="Calibri" w:cs="Calibri" w:eastAsia="Calibri" w:hAnsi="Calibri"/>
          <w:color w:val="111827"/>
          <w:sz w:val="20"/>
          <w:szCs w:val="20"/>
        </w:rPr>
        <w:t xml:space="preserve">▸  LA/FT/FPADM: Lavado de Activos / Financiación del Terrorismo / Financiamiento de la Proliferación de Armas de Destrucción Masiva.</w:t>
      </w:r>
    </w:p>
    <w:p>
      <w:pPr>
        <w:spacing w:after="65" w:before="65"/>
        <w:ind w:left="500"/>
        <w:jc w:val="both"/>
      </w:pPr>
      <w:r>
        <w:rPr>
          <w:rFonts w:ascii="Calibri" w:cs="Calibri" w:eastAsia="Calibri" w:hAnsi="Calibri"/>
          <w:color w:val="111827"/>
          <w:sz w:val="20"/>
          <w:szCs w:val="20"/>
        </w:rPr>
        <w:t xml:space="preserve">▸  Lavado de activos (LA): Proceso de dar apariencia de legalidad a recursos originados en actividades ilícitas. Tipificado en los artículos 323 a 325 del Código Penal colombiano.</w:t>
      </w:r>
    </w:p>
    <w:p>
      <w:pPr>
        <w:spacing w:after="65" w:before="65"/>
        <w:ind w:left="500"/>
        <w:jc w:val="both"/>
      </w:pPr>
      <w:r>
        <w:rPr>
          <w:rFonts w:ascii="Calibri" w:cs="Calibri" w:eastAsia="Calibri" w:hAnsi="Calibri"/>
          <w:color w:val="111827"/>
          <w:sz w:val="20"/>
          <w:szCs w:val="20"/>
        </w:rPr>
        <w:t xml:space="preserve">▸  Financiación del terrorismo (FT): Acción de proveer, recolectar, entregar, recibir, administrar, aportar, custodiar o guardar fondos, bienes o recursos destinados a actividades terroristas.</w:t>
      </w:r>
    </w:p>
    <w:p>
      <w:pPr>
        <w:spacing w:after="65" w:before="65"/>
        <w:ind w:left="500"/>
        <w:jc w:val="both"/>
      </w:pPr>
      <w:r>
        <w:rPr>
          <w:rFonts w:ascii="Calibri" w:cs="Calibri" w:eastAsia="Calibri" w:hAnsi="Calibri"/>
          <w:color w:val="111827"/>
          <w:sz w:val="20"/>
          <w:szCs w:val="20"/>
        </w:rPr>
        <w:t xml:space="preserve">▸  FPADM: Provisión de fondos o servicios financieros relacionados con la fabricación, adquisición, posesión, desarrollo, exportación, trasbordo, corretaje, transporte, transferencia o uso de armas de destrucción masiva.</w:t>
      </w:r>
    </w:p>
    <w:p>
      <w:pPr>
        <w:spacing w:after="65" w:before="65"/>
        <w:ind w:left="500"/>
        <w:jc w:val="both"/>
      </w:pPr>
      <w:r>
        <w:rPr>
          <w:rFonts w:ascii="Calibri" w:cs="Calibri" w:eastAsia="Calibri" w:hAnsi="Calibri"/>
          <w:color w:val="111827"/>
          <w:sz w:val="20"/>
          <w:szCs w:val="20"/>
        </w:rPr>
        <w:t xml:space="preserve">▸  UIAF: Unidad de Información y Análisis Financiero. Entidad estatal colombiana que recibe, centraliza y analiza información sobre operaciones sospechosas.</w:t>
      </w:r>
    </w:p>
    <w:p>
      <w:pPr>
        <w:spacing w:after="65" w:before="65"/>
        <w:ind w:left="500"/>
        <w:jc w:val="both"/>
      </w:pPr>
      <w:r>
        <w:rPr>
          <w:rFonts w:ascii="Calibri" w:cs="Calibri" w:eastAsia="Calibri" w:hAnsi="Calibri"/>
          <w:color w:val="111827"/>
          <w:sz w:val="20"/>
          <w:szCs w:val="20"/>
        </w:rPr>
        <w:t xml:space="preserve">▸  SIREL: Sistema de Reporte en Línea de la UIAF. Plataforma para la inscripción del Oficial de Cumplimiento y el envío de ROS, AROS e Informe 75.</w:t>
      </w:r>
    </w:p>
    <w:p>
      <w:pPr>
        <w:spacing w:after="65" w:before="65"/>
        <w:ind w:left="500"/>
        <w:jc w:val="both"/>
      </w:pPr>
      <w:r>
        <w:rPr>
          <w:rFonts w:ascii="Calibri" w:cs="Calibri" w:eastAsia="Calibri" w:hAnsi="Calibri"/>
          <w:color w:val="111827"/>
          <w:sz w:val="20"/>
          <w:szCs w:val="20"/>
        </w:rPr>
        <w:t xml:space="preserve">▸  ROS (Reporte de Operación Sospechosa): Reporte que VIP PASS envía a la UIAF cuando detecta una operación que por sus características no guarda relación con la actividad habitual de la contraparte y genera sospecha de LA/FT/FPADM.</w:t>
      </w:r>
    </w:p>
    <w:p>
      <w:pPr>
        <w:spacing w:after="65" w:before="65"/>
        <w:ind w:left="500"/>
        <w:jc w:val="both"/>
      </w:pPr>
      <w:r>
        <w:rPr>
          <w:rFonts w:ascii="Calibri" w:cs="Calibri" w:eastAsia="Calibri" w:hAnsi="Calibri"/>
          <w:color w:val="111827"/>
          <w:sz w:val="20"/>
          <w:szCs w:val="20"/>
        </w:rPr>
        <w:t xml:space="preserve">▸  AROS (Ausencia de Reporte de Operación Sospechosa): Reporte trimestral que VIP PASS envía a la UIAF cuando en el trimestre no ha detectado ninguna operación sospechosa. Obligatorio para acreditar monitoreo activo.</w:t>
      </w:r>
    </w:p>
    <w:p>
      <w:pPr>
        <w:spacing w:after="65" w:before="65"/>
        <w:ind w:left="500"/>
        <w:jc w:val="both"/>
      </w:pPr>
      <w:r>
        <w:rPr>
          <w:rFonts w:ascii="Calibri" w:cs="Calibri" w:eastAsia="Calibri" w:hAnsi="Calibri"/>
          <w:color w:val="111827"/>
          <w:sz w:val="20"/>
          <w:szCs w:val="20"/>
        </w:rPr>
        <w:t xml:space="preserve">▸  Operación inusual: Transacción que por su cuantía, frecuencia, características o estructura se sale de los parámetros normales de la actividad de la contraparte, pero que aún no ha sido calificada como sospechosa.</w:t>
      </w:r>
    </w:p>
    <w:p>
      <w:pPr>
        <w:spacing w:after="65" w:before="65"/>
        <w:ind w:left="500"/>
        <w:jc w:val="both"/>
      </w:pPr>
      <w:r>
        <w:rPr>
          <w:rFonts w:ascii="Calibri" w:cs="Calibri" w:eastAsia="Calibri" w:hAnsi="Calibri"/>
          <w:color w:val="111827"/>
          <w:sz w:val="20"/>
          <w:szCs w:val="20"/>
        </w:rPr>
        <w:t xml:space="preserve">▸  Operación sospechosa: Operación inusual que, tras el análisis correspondiente, no tiene justificación económica o legal evidente y genera sospecha razonable de estar relacionada con LA/FT/FPADM.</w:t>
      </w:r>
    </w:p>
    <w:p>
      <w:pPr>
        <w:spacing w:after="65" w:before="65"/>
        <w:ind w:left="500"/>
        <w:jc w:val="both"/>
      </w:pPr>
      <w:r>
        <w:rPr>
          <w:rFonts w:ascii="Calibri" w:cs="Calibri" w:eastAsia="Calibri" w:hAnsi="Calibri"/>
          <w:color w:val="111827"/>
          <w:sz w:val="20"/>
          <w:szCs w:val="20"/>
        </w:rPr>
        <w:t xml:space="preserve">▸  Contraparte: Toda persona natural o jurídica con la que VIP PASS tiene vínculos comerciales, contractuales o jurídicos: clientes/compradores, productores de eventos, proveedores, empleados, accionistas.</w:t>
      </w:r>
    </w:p>
    <w:p>
      <w:pPr>
        <w:spacing w:after="65" w:before="65"/>
        <w:ind w:left="500"/>
        <w:jc w:val="both"/>
      </w:pPr>
      <w:r>
        <w:rPr>
          <w:rFonts w:ascii="Calibri" w:cs="Calibri" w:eastAsia="Calibri" w:hAnsi="Calibri"/>
          <w:color w:val="111827"/>
          <w:sz w:val="20"/>
          <w:szCs w:val="20"/>
        </w:rPr>
        <w:t xml:space="preserve">▸  PEP (Persona Expuesta Políticamente): Individuo que desempeña o ha desempeñado funciones públicas destacadas (altos cargos del Estado, gobierno, fuerzas militares, organismos internacionales) y sus familiares cercanos y asociados. Requiere debida diligencia intensificada.</w:t>
      </w:r>
    </w:p>
    <w:p>
      <w:pPr>
        <w:spacing w:after="65" w:before="65"/>
        <w:ind w:left="500"/>
        <w:jc w:val="both"/>
      </w:pPr>
      <w:r>
        <w:rPr>
          <w:rFonts w:ascii="Calibri" w:cs="Calibri" w:eastAsia="Calibri" w:hAnsi="Calibri"/>
          <w:color w:val="111827"/>
          <w:sz w:val="20"/>
          <w:szCs w:val="20"/>
        </w:rPr>
        <w:t xml:space="preserve">▸  Beneficiario Final (BF): Persona natural que en última instancia posee o controla una persona jurídica, directa o indirectamente.</w:t>
      </w:r>
    </w:p>
    <w:p>
      <w:pPr>
        <w:spacing w:after="65" w:before="65"/>
        <w:ind w:left="500"/>
        <w:jc w:val="both"/>
      </w:pPr>
      <w:r>
        <w:rPr>
          <w:rFonts w:ascii="Calibri" w:cs="Calibri" w:eastAsia="Calibri" w:hAnsi="Calibri"/>
          <w:color w:val="111827"/>
          <w:sz w:val="20"/>
          <w:szCs w:val="20"/>
        </w:rPr>
        <w:t xml:space="preserve">▸  Debida Diligencia (DD): Proceso de conocimiento, verificación y monitoreo de contrapartes para gestionar el riesgo LA/FT/FPADM.</w:t>
      </w:r>
    </w:p>
    <w:p>
      <w:pPr>
        <w:spacing w:after="65" w:before="65"/>
        <w:ind w:left="500"/>
        <w:jc w:val="both"/>
      </w:pPr>
      <w:r>
        <w:rPr>
          <w:rFonts w:ascii="Calibri" w:cs="Calibri" w:eastAsia="Calibri" w:hAnsi="Calibri"/>
          <w:color w:val="111827"/>
          <w:sz w:val="20"/>
          <w:szCs w:val="20"/>
        </w:rPr>
        <w:t xml:space="preserve">▸  Debida Diligencia Intensificada (DDI): Proceso reforzado aplicado a contrapartes de alto riesgo (PEP, contrapartes en países de alto riesgo, operaciones de alta cuantía, etc.).</w:t>
      </w:r>
    </w:p>
    <w:p>
      <w:pPr>
        <w:spacing w:after="65" w:before="65"/>
        <w:ind w:left="500"/>
        <w:jc w:val="both"/>
      </w:pPr>
      <w:r>
        <w:rPr>
          <w:rFonts w:ascii="Calibri" w:cs="Calibri" w:eastAsia="Calibri" w:hAnsi="Calibri"/>
          <w:color w:val="111827"/>
          <w:sz w:val="20"/>
          <w:szCs w:val="20"/>
        </w:rPr>
        <w:t xml:space="preserve">▸  Señal de alerta: Hecho, situación, evento o indicador cuantitativo o cualitativo que puede indicar un posible riesgo LA/FT/FPADM y que activa el proceso de análisis.</w:t>
      </w:r>
    </w:p>
    <w:p>
      <w:pPr>
        <w:spacing w:after="65" w:before="65"/>
        <w:ind w:left="500"/>
        <w:jc w:val="both"/>
      </w:pPr>
      <w:r>
        <w:rPr>
          <w:rFonts w:ascii="Calibri" w:cs="Calibri" w:eastAsia="Calibri" w:hAnsi="Calibri"/>
          <w:color w:val="111827"/>
          <w:sz w:val="20"/>
          <w:szCs w:val="20"/>
        </w:rPr>
        <w:t xml:space="preserve">▸  Factor de riesgo: Elemento (cliente, producto, canal, jurisdicción) que puede incrementar la probabilidad de que VIP PASS sea utilizado para LA/FT/FPADM.</w:t>
      </w:r>
    </w:p>
    <w:p>
      <w:pPr>
        <w:spacing w:after="65" w:before="65"/>
        <w:ind w:left="500"/>
        <w:jc w:val="both"/>
      </w:pPr>
      <w:r>
        <w:rPr>
          <w:rFonts w:ascii="Calibri" w:cs="Calibri" w:eastAsia="Calibri" w:hAnsi="Calibri"/>
          <w:color w:val="111827"/>
          <w:sz w:val="20"/>
          <w:szCs w:val="20"/>
        </w:rPr>
        <w:t xml:space="preserve">▸  Riesgo inherente: Nivel de riesgo LA/FT/FPADM al que está expuesta VIP PASS antes de aplicar controles.</w:t>
      </w:r>
    </w:p>
    <w:p>
      <w:pPr>
        <w:spacing w:after="65" w:before="65"/>
        <w:ind w:left="500"/>
        <w:jc w:val="both"/>
      </w:pPr>
      <w:r>
        <w:rPr>
          <w:rFonts w:ascii="Calibri" w:cs="Calibri" w:eastAsia="Calibri" w:hAnsi="Calibri"/>
          <w:color w:val="111827"/>
          <w:sz w:val="20"/>
          <w:szCs w:val="20"/>
        </w:rPr>
        <w:t xml:space="preserve">▸  Riesgo residual: Nivel de riesgo que permanece después de aplicar los controles del SAGRILAFT.</w:t>
      </w:r>
    </w:p>
    <w:p>
      <w:pPr>
        <w:spacing w:after="65" w:before="65"/>
        <w:ind w:left="500"/>
        <w:jc w:val="both"/>
      </w:pPr>
      <w:r>
        <w:rPr>
          <w:rFonts w:ascii="Calibri" w:cs="Calibri" w:eastAsia="Calibri" w:hAnsi="Calibri"/>
          <w:color w:val="111827"/>
          <w:sz w:val="20"/>
          <w:szCs w:val="20"/>
        </w:rPr>
        <w:t xml:space="preserve">▸  Informe 75: Reporte anual que las empresas obligadas presentan a la Superintendencia de Sociedades con información sobre el estado del SAGRILAFT.</w:t>
      </w:r>
    </w:p>
    <w:p>
      <w:pPr>
        <w:spacing w:after="65" w:before="65"/>
        <w:ind w:left="500"/>
        <w:jc w:val="both"/>
      </w:pPr>
      <w:r>
        <w:rPr>
          <w:rFonts w:ascii="Calibri" w:cs="Calibri" w:eastAsia="Calibri" w:hAnsi="Calibri"/>
          <w:color w:val="111827"/>
          <w:sz w:val="20"/>
          <w:szCs w:val="20"/>
        </w:rPr>
        <w:t xml:space="preserve">▸  Oficial de Cumplimiento: Persona designada por el máximo órgano social, responsable de diseñar, implementar, operar y actualizar el SAGRILAFT.</w:t>
      </w:r>
    </w:p>
    <w:p>
      <w:pPr>
        <w:pBdr>
          <w:bottom w:val="thick" w:color="122EEF" w:sz="10"/>
        </w:pBdr>
        <w:spacing w:after="260" w:before="600"/>
      </w:pPr>
      <w:r>
        <w:rPr>
          <w:rFonts w:ascii="Calibri" w:cs="Calibri" w:eastAsia="Calibri" w:hAnsi="Calibri"/>
          <w:b/>
          <w:bCs/>
          <w:color w:val="122EEF"/>
          <w:sz w:val="38"/>
          <w:szCs w:val="38"/>
        </w:rPr>
        <w:t xml:space="preserve">3. FACTORES DE RIESGO LA/FT/FPADM EN VIP PASS</w:t>
      </w:r>
    </w:p>
    <w:p>
      <w:pPr>
        <w:spacing w:after="80" w:before="80"/>
        <w:jc w:val="both"/>
      </w:pPr>
      <w:r>
        <w:rPr>
          <w:rFonts w:ascii="Calibri" w:cs="Calibri" w:eastAsia="Calibri" w:hAnsi="Calibri"/>
          <w:color w:val="111827"/>
          <w:sz w:val="20"/>
          <w:szCs w:val="20"/>
        </w:rPr>
        <w:t xml:space="preserve">La actividad de venta de boletería para espectáculos públicos presenta factores de riesgo LA/FT/FPADM particulares que deben ser identificados, segmentados y controlados:</w:t>
      </w:r>
    </w:p>
    <w:p>
      <w:pPr>
        <w:pBdr>
          <w:bottom w:val="single" w:color="122EEF" w:sz="6"/>
        </w:pBdr>
        <w:spacing w:after="180" w:before="400"/>
      </w:pPr>
      <w:r>
        <w:rPr>
          <w:rFonts w:ascii="Calibri" w:cs="Calibri" w:eastAsia="Calibri" w:hAnsi="Calibri"/>
          <w:b/>
          <w:bCs/>
          <w:color w:val="111827"/>
          <w:sz w:val="28"/>
          <w:szCs w:val="28"/>
        </w:rPr>
        <w:t xml:space="preserve">3.1 Factores de Riesgo por Categoría</w:t>
      </w:r>
    </w:p>
    <w:p>
      <w:pPr>
        <w:spacing w:after="80" w:before="8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dxa" w:w="2300"/>
            <w:shd w:fill="122EEF" w:color="auto" w:val="clear"/>
          </w:tcPr>
          <w:p>
            <w:pPr>
              <w:jc w:val="center"/>
            </w:pPr>
            <w:r>
              <w:rPr>
                <w:rFonts w:ascii="Calibri" w:cs="Calibri" w:eastAsia="Calibri" w:hAnsi="Calibri"/>
                <w:b/>
                <w:bCs/>
                <w:color w:val="FFFFFF"/>
                <w:sz w:val="19"/>
                <w:szCs w:val="19"/>
              </w:rPr>
              <w:t xml:space="preserve">Factor</w:t>
            </w:r>
          </w:p>
        </w:tc>
        <w:tc>
          <w:tcPr>
            <w:tcW w:type="dxa" w:w="4700"/>
            <w:shd w:fill="122EEF" w:color="auto" w:val="clear"/>
          </w:tcPr>
          <w:p>
            <w:pPr>
              <w:jc w:val="center"/>
            </w:pPr>
            <w:r>
              <w:rPr>
                <w:rFonts w:ascii="Calibri" w:cs="Calibri" w:eastAsia="Calibri" w:hAnsi="Calibri"/>
                <w:b/>
                <w:bCs/>
                <w:color w:val="FFFFFF"/>
                <w:sz w:val="19"/>
                <w:szCs w:val="19"/>
              </w:rPr>
              <w:t xml:space="preserve">Descripción del riesgo en VIP PASS</w:t>
            </w:r>
          </w:p>
        </w:tc>
        <w:tc>
          <w:tcPr>
            <w:tcW w:type="dxa" w:w="2000"/>
            <w:shd w:fill="122EEF" w:color="auto" w:val="clear"/>
          </w:tcPr>
          <w:p>
            <w:pPr>
              <w:jc w:val="center"/>
            </w:pPr>
            <w:r>
              <w:rPr>
                <w:rFonts w:ascii="Calibri" w:cs="Calibri" w:eastAsia="Calibri" w:hAnsi="Calibri"/>
                <w:b/>
                <w:bCs/>
                <w:color w:val="FFFFFF"/>
                <w:sz w:val="19"/>
                <w:szCs w:val="19"/>
              </w:rPr>
              <w:t xml:space="preserve">Nivel de riesgo inherente</w:t>
            </w:r>
          </w:p>
        </w:tc>
      </w:tr>
      <w:tr>
        <w:tc>
          <w:tcPr>
            <w:tcW w:type="dxa" w:w="2300"/>
            <w:shd w:fill="F9FAFB" w:color="auto" w:val="clear"/>
          </w:tcPr>
          <w:p>
            <w:pPr>
              <w:jc w:val="both"/>
            </w:pPr>
            <w:r>
              <w:rPr>
                <w:rFonts w:ascii="Calibri" w:cs="Calibri" w:eastAsia="Calibri" w:hAnsi="Calibri"/>
                <w:color w:val="111827"/>
                <w:sz w:val="18"/>
                <w:szCs w:val="18"/>
              </w:rPr>
              <w:t xml:space="preserve">Clientes / Compradores</w:t>
            </w:r>
          </w:p>
        </w:tc>
        <w:tc>
          <w:tcPr>
            <w:tcW w:type="dxa" w:w="4700"/>
            <w:shd w:fill="F9FAFB" w:color="auto" w:val="clear"/>
          </w:tcPr>
          <w:p>
            <w:pPr>
              <w:jc w:val="both"/>
            </w:pPr>
            <w:r>
              <w:rPr>
                <w:rFonts w:ascii="Calibri" w:cs="Calibri" w:eastAsia="Calibri" w:hAnsi="Calibri"/>
                <w:color w:val="111827"/>
                <w:sz w:val="18"/>
                <w:szCs w:val="18"/>
              </w:rPr>
              <w:t xml:space="preserve">Compradores anónimos o que adquieren grandes cantidades de entradas en efectivo o con múltiples tarjetas diferentes. Compradores PEP no identificados. Personas en listas restrictivas (OFAC, ONU).</w:t>
            </w:r>
          </w:p>
        </w:tc>
        <w:tc>
          <w:tcPr>
            <w:tcW w:type="dxa" w:w="2000"/>
            <w:shd w:fill="F9FAFB" w:color="auto" w:val="clear"/>
          </w:tcPr>
          <w:p>
            <w:pPr>
              <w:jc w:val="both"/>
            </w:pPr>
            <w:r>
              <w:rPr>
                <w:rFonts w:ascii="Calibri" w:cs="Calibri" w:eastAsia="Calibri" w:hAnsi="Calibri"/>
                <w:color w:val="111827"/>
                <w:sz w:val="18"/>
                <w:szCs w:val="18"/>
              </w:rPr>
              <w:t xml:space="preserve">MEDIO-ALTO</w:t>
            </w:r>
          </w:p>
        </w:tc>
      </w:tr>
      <w:tr>
        <w:tc>
          <w:tcPr>
            <w:tcW w:type="dxa" w:w="2300"/>
            <w:shd w:fill="FFFFFF" w:color="auto" w:val="clear"/>
          </w:tcPr>
          <w:p>
            <w:pPr>
              <w:jc w:val="both"/>
            </w:pPr>
            <w:r>
              <w:rPr>
                <w:rFonts w:ascii="Calibri" w:cs="Calibri" w:eastAsia="Calibri" w:hAnsi="Calibri"/>
                <w:color w:val="111827"/>
                <w:sz w:val="18"/>
                <w:szCs w:val="18"/>
              </w:rPr>
              <w:t xml:space="preserve">Productores de eventos</w:t>
            </w:r>
          </w:p>
        </w:tc>
        <w:tc>
          <w:tcPr>
            <w:tcW w:type="dxa" w:w="4700"/>
            <w:shd w:fill="FFFFFF" w:color="auto" w:val="clear"/>
          </w:tcPr>
          <w:p>
            <w:pPr>
              <w:jc w:val="both"/>
            </w:pPr>
            <w:r>
              <w:rPr>
                <w:rFonts w:ascii="Calibri" w:cs="Calibri" w:eastAsia="Calibri" w:hAnsi="Calibri"/>
                <w:color w:val="111827"/>
                <w:sz w:val="18"/>
                <w:szCs w:val="18"/>
              </w:rPr>
              <w:t xml:space="preserve">Productores sin historial verificable, con domicilio en jurisdicciones de alto riesgo, que reportan ingresos de boletería inconsistentes con el aforo del evento o que solicitan transferencias a cuentas de terceros.</w:t>
            </w:r>
          </w:p>
        </w:tc>
        <w:tc>
          <w:tcPr>
            <w:tcW w:type="dxa" w:w="2000"/>
            <w:shd w:fill="FFFFFF" w:color="auto" w:val="clear"/>
          </w:tcPr>
          <w:p>
            <w:pPr>
              <w:jc w:val="both"/>
            </w:pPr>
            <w:r>
              <w:rPr>
                <w:rFonts w:ascii="Calibri" w:cs="Calibri" w:eastAsia="Calibri" w:hAnsi="Calibri"/>
                <w:color w:val="111827"/>
                <w:sz w:val="18"/>
                <w:szCs w:val="18"/>
              </w:rPr>
              <w:t xml:space="preserve">ALTO</w:t>
            </w:r>
          </w:p>
        </w:tc>
      </w:tr>
      <w:tr>
        <w:tc>
          <w:tcPr>
            <w:tcW w:type="dxa" w:w="2300"/>
            <w:shd w:fill="F9FAFB" w:color="auto" w:val="clear"/>
          </w:tcPr>
          <w:p>
            <w:pPr>
              <w:jc w:val="both"/>
            </w:pPr>
            <w:r>
              <w:rPr>
                <w:rFonts w:ascii="Calibri" w:cs="Calibri" w:eastAsia="Calibri" w:hAnsi="Calibri"/>
                <w:color w:val="111827"/>
                <w:sz w:val="18"/>
                <w:szCs w:val="18"/>
              </w:rPr>
              <w:t xml:space="preserve">Productos / Servicios</w:t>
            </w:r>
          </w:p>
        </w:tc>
        <w:tc>
          <w:tcPr>
            <w:tcW w:type="dxa" w:w="4700"/>
            <w:shd w:fill="F9FAFB" w:color="auto" w:val="clear"/>
          </w:tcPr>
          <w:p>
            <w:pPr>
              <w:jc w:val="both"/>
            </w:pPr>
            <w:r>
              <w:rPr>
                <w:rFonts w:ascii="Calibri" w:cs="Calibri" w:eastAsia="Calibri" w:hAnsi="Calibri"/>
                <w:color w:val="111827"/>
                <w:sz w:val="18"/>
                <w:szCs w:val="18"/>
              </w:rPr>
              <w:t xml:space="preserve">Venta masiva de boletería en efectivo o con medios de pago no verificables. Tickets de alto valor unitario. Manillas NFC con función de pago (sistema de dinero electrónico). Reventa informal de boletería.</w:t>
            </w:r>
          </w:p>
        </w:tc>
        <w:tc>
          <w:tcPr>
            <w:tcW w:type="dxa" w:w="2000"/>
            <w:shd w:fill="F9FAFB" w:color="auto" w:val="clear"/>
          </w:tcPr>
          <w:p>
            <w:pPr>
              <w:jc w:val="both"/>
            </w:pPr>
            <w:r>
              <w:rPr>
                <w:rFonts w:ascii="Calibri" w:cs="Calibri" w:eastAsia="Calibri" w:hAnsi="Calibri"/>
                <w:color w:val="111827"/>
                <w:sz w:val="18"/>
                <w:szCs w:val="18"/>
              </w:rPr>
              <w:t xml:space="preserve">MEDIO-ALTO</w:t>
            </w:r>
          </w:p>
        </w:tc>
      </w:tr>
      <w:tr>
        <w:tc>
          <w:tcPr>
            <w:tcW w:type="dxa" w:w="2300"/>
            <w:shd w:fill="FFFFFF" w:color="auto" w:val="clear"/>
          </w:tcPr>
          <w:p>
            <w:pPr>
              <w:jc w:val="both"/>
            </w:pPr>
            <w:r>
              <w:rPr>
                <w:rFonts w:ascii="Calibri" w:cs="Calibri" w:eastAsia="Calibri" w:hAnsi="Calibri"/>
                <w:color w:val="111827"/>
                <w:sz w:val="18"/>
                <w:szCs w:val="18"/>
              </w:rPr>
              <w:t xml:space="preserve">Canales de distribución</w:t>
            </w:r>
          </w:p>
        </w:tc>
        <w:tc>
          <w:tcPr>
            <w:tcW w:type="dxa" w:w="4700"/>
            <w:shd w:fill="FFFFFF" w:color="auto" w:val="clear"/>
          </w:tcPr>
          <w:p>
            <w:pPr>
              <w:jc w:val="both"/>
            </w:pPr>
            <w:r>
              <w:rPr>
                <w:rFonts w:ascii="Calibri" w:cs="Calibri" w:eastAsia="Calibri" w:hAnsi="Calibri"/>
                <w:color w:val="111827"/>
                <w:sz w:val="18"/>
                <w:szCs w:val="18"/>
              </w:rPr>
              <w:t xml:space="preserve">Puntos de venta en efectivo. Venta por intermediarios o revendedores no verificados. Canales digitales con pagos desde países de alto riesgo LA/FT.</w:t>
            </w:r>
          </w:p>
        </w:tc>
        <w:tc>
          <w:tcPr>
            <w:tcW w:type="dxa" w:w="2000"/>
            <w:shd w:fill="FFFFFF" w:color="auto" w:val="clear"/>
          </w:tcPr>
          <w:p>
            <w:pPr>
              <w:jc w:val="both"/>
            </w:pPr>
            <w:r>
              <w:rPr>
                <w:rFonts w:ascii="Calibri" w:cs="Calibri" w:eastAsia="Calibri" w:hAnsi="Calibri"/>
                <w:color w:val="111827"/>
                <w:sz w:val="18"/>
                <w:szCs w:val="18"/>
              </w:rPr>
              <w:t xml:space="preserve">MEDIO</w:t>
            </w:r>
          </w:p>
        </w:tc>
      </w:tr>
      <w:tr>
        <w:tc>
          <w:tcPr>
            <w:tcW w:type="dxa" w:w="2300"/>
            <w:shd w:fill="F9FAFB" w:color="auto" w:val="clear"/>
          </w:tcPr>
          <w:p>
            <w:pPr>
              <w:jc w:val="both"/>
            </w:pPr>
            <w:r>
              <w:rPr>
                <w:rFonts w:ascii="Calibri" w:cs="Calibri" w:eastAsia="Calibri" w:hAnsi="Calibri"/>
                <w:color w:val="111827"/>
                <w:sz w:val="18"/>
                <w:szCs w:val="18"/>
              </w:rPr>
              <w:t xml:space="preserve">Jurisdicciones / País</w:t>
            </w:r>
          </w:p>
        </w:tc>
        <w:tc>
          <w:tcPr>
            <w:tcW w:type="dxa" w:w="4700"/>
            <w:shd w:fill="F9FAFB" w:color="auto" w:val="clear"/>
          </w:tcPr>
          <w:p>
            <w:pPr>
              <w:jc w:val="both"/>
            </w:pPr>
            <w:r>
              <w:rPr>
                <w:rFonts w:ascii="Calibri" w:cs="Calibri" w:eastAsia="Calibri" w:hAnsi="Calibri"/>
                <w:color w:val="111827"/>
                <w:sz w:val="18"/>
                <w:szCs w:val="18"/>
              </w:rPr>
              <w:t xml:space="preserve">Compradores o productores con domicilio o cuentas en países listados por el GAFI como de alto riesgo o con deficiencias en controles ALA/CFT. Transferencias a cuentas offshore.</w:t>
            </w:r>
          </w:p>
        </w:tc>
        <w:tc>
          <w:tcPr>
            <w:tcW w:type="dxa" w:w="2000"/>
            <w:shd w:fill="F9FAFB" w:color="auto" w:val="clear"/>
          </w:tcPr>
          <w:p>
            <w:pPr>
              <w:jc w:val="both"/>
            </w:pPr>
            <w:r>
              <w:rPr>
                <w:rFonts w:ascii="Calibri" w:cs="Calibri" w:eastAsia="Calibri" w:hAnsi="Calibri"/>
                <w:color w:val="111827"/>
                <w:sz w:val="18"/>
                <w:szCs w:val="18"/>
              </w:rPr>
              <w:t xml:space="preserve">ALTO</w:t>
            </w:r>
          </w:p>
        </w:tc>
      </w:tr>
      <w:tr>
        <w:tc>
          <w:tcPr>
            <w:tcW w:type="dxa" w:w="2300"/>
            <w:shd w:fill="FFFFFF" w:color="auto" w:val="clear"/>
          </w:tcPr>
          <w:p>
            <w:pPr>
              <w:jc w:val="both"/>
            </w:pPr>
            <w:r>
              <w:rPr>
                <w:rFonts w:ascii="Calibri" w:cs="Calibri" w:eastAsia="Calibri" w:hAnsi="Calibri"/>
                <w:color w:val="111827"/>
                <w:sz w:val="18"/>
                <w:szCs w:val="18"/>
              </w:rPr>
              <w:t xml:space="preserve">Empleados y contratistas</w:t>
            </w:r>
          </w:p>
        </w:tc>
        <w:tc>
          <w:tcPr>
            <w:tcW w:type="dxa" w:w="4700"/>
            <w:shd w:fill="FFFFFF" w:color="auto" w:val="clear"/>
          </w:tcPr>
          <w:p>
            <w:pPr>
              <w:jc w:val="both"/>
            </w:pPr>
            <w:r>
              <w:rPr>
                <w:rFonts w:ascii="Calibri" w:cs="Calibri" w:eastAsia="Calibri" w:hAnsi="Calibri"/>
                <w:color w:val="111827"/>
                <w:sz w:val="18"/>
                <w:szCs w:val="18"/>
              </w:rPr>
              <w:t xml:space="preserve">Empleados con acceso a sistemas de pago que faciliten la manipulación de transacciones. Conflictos de interés con productores o distribuidores de boletería.</w:t>
            </w:r>
          </w:p>
        </w:tc>
        <w:tc>
          <w:tcPr>
            <w:tcW w:type="dxa" w:w="2000"/>
            <w:shd w:fill="FFFFFF" w:color="auto" w:val="clear"/>
          </w:tcPr>
          <w:p>
            <w:pPr>
              <w:jc w:val="both"/>
            </w:pPr>
            <w:r>
              <w:rPr>
                <w:rFonts w:ascii="Calibri" w:cs="Calibri" w:eastAsia="Calibri" w:hAnsi="Calibri"/>
                <w:color w:val="111827"/>
                <w:sz w:val="18"/>
                <w:szCs w:val="18"/>
              </w:rPr>
              <w:t xml:space="preserve">MEDIO</w:t>
            </w:r>
          </w:p>
        </w:tc>
      </w:tr>
    </w:tbl>
    <w:p>
      <w:pPr>
        <w:spacing w:after="80" w:before="80"/>
      </w:pPr>
    </w:p>
    <w:p>
      <w:pPr>
        <w:pBdr>
          <w:bottom w:val="single" w:color="122EEF" w:sz="6"/>
        </w:pBdr>
        <w:spacing w:after="180" w:before="400"/>
      </w:pPr>
      <w:r>
        <w:rPr>
          <w:rFonts w:ascii="Calibri" w:cs="Calibri" w:eastAsia="Calibri" w:hAnsi="Calibri"/>
          <w:b/>
          <w:bCs/>
          <w:color w:val="111827"/>
          <w:sz w:val="28"/>
          <w:szCs w:val="28"/>
        </w:rPr>
        <w:t xml:space="preserve">3.2 Señales de Alerta Específicas para VIP PASS</w:t>
      </w:r>
    </w:p>
    <w:p>
      <w:pPr>
        <w:spacing w:after="140" w:before="280"/>
      </w:pPr>
      <w:r>
        <w:rPr>
          <w:rFonts w:ascii="Calibri" w:cs="Calibri" w:eastAsia="Calibri" w:hAnsi="Calibri"/>
          <w:b/>
          <w:bCs/>
          <w:color w:val="122EEF"/>
          <w:sz w:val="24"/>
          <w:szCs w:val="24"/>
        </w:rPr>
        <w:t xml:space="preserve">Señales de alerta en compradores de entradas:</w:t>
      </w:r>
    </w:p>
    <w:p>
      <w:pPr>
        <w:spacing w:after="70" w:before="70"/>
        <w:ind w:left="500"/>
        <w:jc w:val="both"/>
      </w:pPr>
      <w:r>
        <w:rPr>
          <w:rFonts w:ascii="Calibri" w:cs="Calibri" w:eastAsia="Calibri" w:hAnsi="Calibri"/>
          <w:color w:val="B91C1C"/>
          <w:sz w:val="19"/>
          <w:szCs w:val="19"/>
        </w:rPr>
        <w:t xml:space="preserve">🚩  Comprador que adquiere un número inusualmente alto de entradas (más del 20% del aforo de un evento) en una sola transacción sin justificación comercial aparente.</w:t>
      </w:r>
    </w:p>
    <w:p>
      <w:pPr>
        <w:spacing w:after="70" w:before="70"/>
        <w:ind w:left="500"/>
        <w:jc w:val="both"/>
      </w:pPr>
      <w:r>
        <w:rPr>
          <w:rFonts w:ascii="Calibri" w:cs="Calibri" w:eastAsia="Calibri" w:hAnsi="Calibri"/>
          <w:color w:val="B91C1C"/>
          <w:sz w:val="19"/>
          <w:szCs w:val="19"/>
        </w:rPr>
        <w:t xml:space="preserve">🚩  Comprador que fractura la compra en múltiples transacciones por debajo de umbrales de reporte para evitar controles (estructuración o 'pitufeo').</w:t>
      </w:r>
    </w:p>
    <w:p>
      <w:pPr>
        <w:spacing w:after="70" w:before="70"/>
        <w:ind w:left="500"/>
        <w:jc w:val="both"/>
      </w:pPr>
      <w:r>
        <w:rPr>
          <w:rFonts w:ascii="Calibri" w:cs="Calibri" w:eastAsia="Calibri" w:hAnsi="Calibri"/>
          <w:color w:val="B91C1C"/>
          <w:sz w:val="19"/>
          <w:szCs w:val="19"/>
        </w:rPr>
        <w:t xml:space="preserve">🚩  Pago con múltiples tarjetas de crédito/débito diferentes para una sola orden, especialmente si los titulares son personas distintas.</w:t>
      </w:r>
    </w:p>
    <w:p>
      <w:pPr>
        <w:spacing w:after="70" w:before="70"/>
        <w:ind w:left="500"/>
        <w:jc w:val="both"/>
      </w:pPr>
      <w:r>
        <w:rPr>
          <w:rFonts w:ascii="Calibri" w:cs="Calibri" w:eastAsia="Calibri" w:hAnsi="Calibri"/>
          <w:color w:val="B91C1C"/>
          <w:sz w:val="19"/>
          <w:szCs w:val="19"/>
        </w:rPr>
        <w:t xml:space="preserve">🚩  Comprador que utiliza métodos de pago inusuales, anónimos o de difícil trazabilidad (tarjetas prepago no nominadas, criptomonedas no verificadas).</w:t>
      </w:r>
    </w:p>
    <w:p>
      <w:pPr>
        <w:spacing w:after="70" w:before="70"/>
        <w:ind w:left="500"/>
        <w:jc w:val="both"/>
      </w:pPr>
      <w:r>
        <w:rPr>
          <w:rFonts w:ascii="Calibri" w:cs="Calibri" w:eastAsia="Calibri" w:hAnsi="Calibri"/>
          <w:color w:val="B91C1C"/>
          <w:sz w:val="19"/>
          <w:szCs w:val="19"/>
        </w:rPr>
        <w:t xml:space="preserve">🚩  Comprador que solicita la emisión de entradas a nombre de terceros diferentes al pagador sin justificación clara.</w:t>
      </w:r>
    </w:p>
    <w:p>
      <w:pPr>
        <w:spacing w:after="70" w:before="70"/>
        <w:ind w:left="500"/>
        <w:jc w:val="both"/>
      </w:pPr>
      <w:r>
        <w:rPr>
          <w:rFonts w:ascii="Calibri" w:cs="Calibri" w:eastAsia="Calibri" w:hAnsi="Calibri"/>
          <w:color w:val="B91C1C"/>
          <w:sz w:val="19"/>
          <w:szCs w:val="19"/>
        </w:rPr>
        <w:t xml:space="preserve">🚩  Comprador identificado en listas restrictivas (OFAC, ONU, Procuraduría, Contraloría, UIAF).</w:t>
      </w:r>
    </w:p>
    <w:p>
      <w:pPr>
        <w:spacing w:after="70" w:before="70"/>
        <w:ind w:left="500"/>
        <w:jc w:val="both"/>
      </w:pPr>
      <w:r>
        <w:rPr>
          <w:rFonts w:ascii="Calibri" w:cs="Calibri" w:eastAsia="Calibri" w:hAnsi="Calibri"/>
          <w:color w:val="B91C1C"/>
          <w:sz w:val="19"/>
          <w:szCs w:val="19"/>
        </w:rPr>
        <w:t xml:space="preserve">🚩  Comprador PEP que realiza compras de alto valor sin relación con su perfil socioeconómico esperado.</w:t>
      </w:r>
    </w:p>
    <w:p>
      <w:pPr>
        <w:spacing w:after="70" w:before="70"/>
        <w:ind w:left="500"/>
        <w:jc w:val="both"/>
      </w:pPr>
      <w:r>
        <w:rPr>
          <w:rFonts w:ascii="Calibri" w:cs="Calibri" w:eastAsia="Calibri" w:hAnsi="Calibri"/>
          <w:color w:val="B91C1C"/>
          <w:sz w:val="19"/>
          <w:szCs w:val="19"/>
        </w:rPr>
        <w:t xml:space="preserve">🚩  Solicitudes de devolución inmediata tras la compra, sin asistir al evento, por el mismo medio de pago o por medios diferentes.</w:t>
      </w:r>
    </w:p>
    <w:p>
      <w:pPr>
        <w:spacing w:after="140" w:before="280"/>
      </w:pPr>
      <w:r>
        <w:rPr>
          <w:rFonts w:ascii="Calibri" w:cs="Calibri" w:eastAsia="Calibri" w:hAnsi="Calibri"/>
          <w:b/>
          <w:bCs/>
          <w:color w:val="122EEF"/>
          <w:sz w:val="24"/>
          <w:szCs w:val="24"/>
        </w:rPr>
        <w:t xml:space="preserve">Señales de alerta en productores de eventos:</w:t>
      </w:r>
    </w:p>
    <w:p>
      <w:pPr>
        <w:spacing w:after="70" w:before="70"/>
        <w:ind w:left="500"/>
        <w:jc w:val="both"/>
      </w:pPr>
      <w:r>
        <w:rPr>
          <w:rFonts w:ascii="Calibri" w:cs="Calibri" w:eastAsia="Calibri" w:hAnsi="Calibri"/>
          <w:color w:val="B91C1C"/>
          <w:sz w:val="19"/>
          <w:szCs w:val="19"/>
        </w:rPr>
        <w:t xml:space="preserve">🚩  Productor nuevo sin historial verificable, sin registro en PULEP o con registro reciente, que solicita condiciones comerciales inusuales.</w:t>
      </w:r>
    </w:p>
    <w:p>
      <w:pPr>
        <w:spacing w:after="70" w:before="70"/>
        <w:ind w:left="500"/>
        <w:jc w:val="both"/>
      </w:pPr>
      <w:r>
        <w:rPr>
          <w:rFonts w:ascii="Calibri" w:cs="Calibri" w:eastAsia="Calibri" w:hAnsi="Calibri"/>
          <w:color w:val="B91C1C"/>
          <w:sz w:val="19"/>
          <w:szCs w:val="19"/>
        </w:rPr>
        <w:t xml:space="preserve">🚩  Productor que reporta ventas de boletería inconsistentes con el aforo autorizado del recinto (sobre o subreporte de ingresos de taquilla).</w:t>
      </w:r>
    </w:p>
    <w:p>
      <w:pPr>
        <w:spacing w:after="70" w:before="70"/>
        <w:ind w:left="500"/>
        <w:jc w:val="both"/>
      </w:pPr>
      <w:r>
        <w:rPr>
          <w:rFonts w:ascii="Calibri" w:cs="Calibri" w:eastAsia="Calibri" w:hAnsi="Calibri"/>
          <w:color w:val="B91C1C"/>
          <w:sz w:val="19"/>
          <w:szCs w:val="19"/>
        </w:rPr>
        <w:t xml:space="preserve">🚩  Productor que solicita el pago de la liquidación de boletería a cuentas bancarias de terceros diferentes a la razón social del productor.</w:t>
      </w:r>
    </w:p>
    <w:p>
      <w:pPr>
        <w:spacing w:after="70" w:before="70"/>
        <w:ind w:left="500"/>
        <w:jc w:val="both"/>
      </w:pPr>
      <w:r>
        <w:rPr>
          <w:rFonts w:ascii="Calibri" w:cs="Calibri" w:eastAsia="Calibri" w:hAnsi="Calibri"/>
          <w:color w:val="B91C1C"/>
          <w:sz w:val="19"/>
          <w:szCs w:val="19"/>
        </w:rPr>
        <w:t xml:space="preserve">🚩  Productor domiciliado en jurisdicciones de alto riesgo o con cuentas en paraísos fiscales.</w:t>
      </w:r>
    </w:p>
    <w:p>
      <w:pPr>
        <w:spacing w:after="70" w:before="70"/>
        <w:ind w:left="500"/>
        <w:jc w:val="both"/>
      </w:pPr>
      <w:r>
        <w:rPr>
          <w:rFonts w:ascii="Calibri" w:cs="Calibri" w:eastAsia="Calibri" w:hAnsi="Calibri"/>
          <w:color w:val="B91C1C"/>
          <w:sz w:val="19"/>
          <w:szCs w:val="19"/>
        </w:rPr>
        <w:t xml:space="preserve">🚩  Productor que no puede explicar el origen de los recursos para la producción del evento.</w:t>
      </w:r>
    </w:p>
    <w:p>
      <w:pPr>
        <w:spacing w:after="70" w:before="70"/>
        <w:ind w:left="500"/>
        <w:jc w:val="both"/>
      </w:pPr>
      <w:r>
        <w:rPr>
          <w:rFonts w:ascii="Calibri" w:cs="Calibri" w:eastAsia="Calibri" w:hAnsi="Calibri"/>
          <w:color w:val="B91C1C"/>
          <w:sz w:val="19"/>
          <w:szCs w:val="19"/>
        </w:rPr>
        <w:t xml:space="preserve">🚩  Productor que solicita cambios frecuentes de datos bancarios o representante legal sin justificación.</w:t>
      </w:r>
    </w:p>
    <w:p>
      <w:pPr>
        <w:spacing w:after="140" w:before="280"/>
      </w:pPr>
      <w:r>
        <w:rPr>
          <w:rFonts w:ascii="Calibri" w:cs="Calibri" w:eastAsia="Calibri" w:hAnsi="Calibri"/>
          <w:b/>
          <w:bCs/>
          <w:color w:val="122EEF"/>
          <w:sz w:val="24"/>
          <w:szCs w:val="24"/>
        </w:rPr>
        <w:t xml:space="preserve">Señales de alerta en transacciones / operaciones:</w:t>
      </w:r>
    </w:p>
    <w:p>
      <w:pPr>
        <w:spacing w:after="70" w:before="70"/>
        <w:ind w:left="500"/>
        <w:jc w:val="both"/>
      </w:pPr>
      <w:r>
        <w:rPr>
          <w:rFonts w:ascii="Calibri" w:cs="Calibri" w:eastAsia="Calibri" w:hAnsi="Calibri"/>
          <w:color w:val="B91C1C"/>
          <w:sz w:val="19"/>
          <w:szCs w:val="19"/>
        </w:rPr>
        <w:t xml:space="preserve">🚩  Transacciones de alto valor (por encima de 50 SMMLV en un solo día) sin relación con el perfil habitual del cliente.</w:t>
      </w:r>
    </w:p>
    <w:p>
      <w:pPr>
        <w:spacing w:after="70" w:before="70"/>
        <w:ind w:left="500"/>
        <w:jc w:val="both"/>
      </w:pPr>
      <w:r>
        <w:rPr>
          <w:rFonts w:ascii="Calibri" w:cs="Calibri" w:eastAsia="Calibri" w:hAnsi="Calibri"/>
          <w:color w:val="B91C1C"/>
          <w:sz w:val="19"/>
          <w:szCs w:val="19"/>
        </w:rPr>
        <w:t xml:space="preserve">🚩  Recargas inusuales a manillas NFC por montos que no corresponden al consumo esperado en el evento.</w:t>
      </w:r>
    </w:p>
    <w:p>
      <w:pPr>
        <w:spacing w:after="70" w:before="70"/>
        <w:ind w:left="500"/>
        <w:jc w:val="both"/>
      </w:pPr>
      <w:r>
        <w:rPr>
          <w:rFonts w:ascii="Calibri" w:cs="Calibri" w:eastAsia="Calibri" w:hAnsi="Calibri"/>
          <w:color w:val="B91C1C"/>
          <w:sz w:val="19"/>
          <w:szCs w:val="19"/>
        </w:rPr>
        <w:t xml:space="preserve">🚩  Devoluciones de saldo de manillas NFC a cuentas bancarias diferentes a la de la compra original.</w:t>
      </w:r>
    </w:p>
    <w:p>
      <w:pPr>
        <w:spacing w:after="70" w:before="70"/>
        <w:ind w:left="500"/>
        <w:jc w:val="both"/>
      </w:pPr>
      <w:r>
        <w:rPr>
          <w:rFonts w:ascii="Calibri" w:cs="Calibri" w:eastAsia="Calibri" w:hAnsi="Calibri"/>
          <w:color w:val="B91C1C"/>
          <w:sz w:val="19"/>
          <w:szCs w:val="19"/>
        </w:rPr>
        <w:t xml:space="preserve">🚩  Múltiples transacciones desde la misma dirección IP o dispositivo con datos de pago diferentes.</w:t>
      </w:r>
    </w:p>
    <w:p>
      <w:pPr>
        <w:spacing w:after="70" w:before="70"/>
        <w:ind w:left="500"/>
        <w:jc w:val="both"/>
      </w:pPr>
      <w:r>
        <w:rPr>
          <w:rFonts w:ascii="Calibri" w:cs="Calibri" w:eastAsia="Calibri" w:hAnsi="Calibri"/>
          <w:color w:val="B91C1C"/>
          <w:sz w:val="19"/>
          <w:szCs w:val="19"/>
        </w:rPr>
        <w:t xml:space="preserve">🚩  Intentos repetidos de transacciones fallidas seguidos de una transacción exitosa (posible prueba de tarjetas robadas).</w:t>
      </w:r>
    </w:p>
    <w:p>
      <w:pPr>
        <w:pBdr>
          <w:bottom w:val="thick" w:color="122EEF" w:sz="10"/>
        </w:pBdr>
        <w:spacing w:after="260" w:before="600"/>
      </w:pPr>
      <w:r>
        <w:rPr>
          <w:rFonts w:ascii="Calibri" w:cs="Calibri" w:eastAsia="Calibri" w:hAnsi="Calibri"/>
          <w:b/>
          <w:bCs/>
          <w:color w:val="122EEF"/>
          <w:sz w:val="38"/>
          <w:szCs w:val="38"/>
        </w:rPr>
        <w:t xml:space="preserve">4. METODOLOGÍA DE GESTIÓN DEL RIESGO LA/FT/FPADM</w:t>
      </w:r>
    </w:p>
    <w:p>
      <w:pPr>
        <w:pBdr>
          <w:bottom w:val="single" w:color="122EEF" w:sz="6"/>
        </w:pBdr>
        <w:spacing w:after="180" w:before="400"/>
      </w:pPr>
      <w:r>
        <w:rPr>
          <w:rFonts w:ascii="Calibri" w:cs="Calibri" w:eastAsia="Calibri" w:hAnsi="Calibri"/>
          <w:b/>
          <w:bCs/>
          <w:color w:val="111827"/>
          <w:sz w:val="28"/>
          <w:szCs w:val="28"/>
        </w:rPr>
        <w:t xml:space="preserve">4.1 Etapas del proceso de gestión del riesgo</w:t>
      </w:r>
    </w:p>
    <w:p>
      <w:pPr>
        <w:spacing w:after="80" w:before="8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dxa" w:w="2000"/>
            <w:shd w:fill="122EEF" w:color="auto" w:val="clear"/>
          </w:tcPr>
          <w:p>
            <w:pPr>
              <w:jc w:val="center"/>
            </w:pPr>
            <w:r>
              <w:rPr>
                <w:rFonts w:ascii="Calibri" w:cs="Calibri" w:eastAsia="Calibri" w:hAnsi="Calibri"/>
                <w:b/>
                <w:bCs/>
                <w:color w:val="FFFFFF"/>
                <w:sz w:val="19"/>
                <w:szCs w:val="19"/>
              </w:rPr>
              <w:t xml:space="preserve">Etapa</w:t>
            </w:r>
          </w:p>
        </w:tc>
        <w:tc>
          <w:tcPr>
            <w:tcW w:type="dxa" w:w="3800"/>
            <w:shd w:fill="122EEF" w:color="auto" w:val="clear"/>
          </w:tcPr>
          <w:p>
            <w:pPr>
              <w:jc w:val="center"/>
            </w:pPr>
            <w:r>
              <w:rPr>
                <w:rFonts w:ascii="Calibri" w:cs="Calibri" w:eastAsia="Calibri" w:hAnsi="Calibri"/>
                <w:b/>
                <w:bCs/>
                <w:color w:val="FFFFFF"/>
                <w:sz w:val="19"/>
                <w:szCs w:val="19"/>
              </w:rPr>
              <w:t xml:space="preserve">Descripción</w:t>
            </w:r>
          </w:p>
        </w:tc>
        <w:tc>
          <w:tcPr>
            <w:tcW w:type="dxa" w:w="3200"/>
            <w:shd w:fill="122EEF" w:color="auto" w:val="clear"/>
          </w:tcPr>
          <w:p>
            <w:pPr>
              <w:jc w:val="center"/>
            </w:pPr>
            <w:r>
              <w:rPr>
                <w:rFonts w:ascii="Calibri" w:cs="Calibri" w:eastAsia="Calibri" w:hAnsi="Calibri"/>
                <w:b/>
                <w:bCs/>
                <w:color w:val="FFFFFF"/>
                <w:sz w:val="19"/>
                <w:szCs w:val="19"/>
              </w:rPr>
              <w:t xml:space="preserve">Herramienta / Output</w:t>
            </w:r>
          </w:p>
        </w:tc>
      </w:tr>
      <w:tr>
        <w:tc>
          <w:tcPr>
            <w:tcW w:type="dxa" w:w="2000"/>
            <w:shd w:fill="F9FAFB" w:color="auto" w:val="clear"/>
          </w:tcPr>
          <w:p>
            <w:pPr>
              <w:jc w:val="both"/>
            </w:pPr>
            <w:r>
              <w:rPr>
                <w:rFonts w:ascii="Calibri" w:cs="Calibri" w:eastAsia="Calibri" w:hAnsi="Calibri"/>
                <w:color w:val="111827"/>
                <w:sz w:val="18"/>
                <w:szCs w:val="18"/>
              </w:rPr>
              <w:t xml:space="preserve">1. Identificación</w:t>
            </w:r>
          </w:p>
        </w:tc>
        <w:tc>
          <w:tcPr>
            <w:tcW w:type="dxa" w:w="3800"/>
            <w:shd w:fill="F9FAFB" w:color="auto" w:val="clear"/>
          </w:tcPr>
          <w:p>
            <w:pPr>
              <w:jc w:val="both"/>
            </w:pPr>
            <w:r>
              <w:rPr>
                <w:rFonts w:ascii="Calibri" w:cs="Calibri" w:eastAsia="Calibri" w:hAnsi="Calibri"/>
                <w:color w:val="111827"/>
                <w:sz w:val="18"/>
                <w:szCs w:val="18"/>
              </w:rPr>
              <w:t xml:space="preserve">Identificar los factores de riesgo LA/FT/FPADM inherentes a la actividad de VIP PASS: clientes, productos, canales y jurisdicciones.</w:t>
            </w:r>
          </w:p>
        </w:tc>
        <w:tc>
          <w:tcPr>
            <w:tcW w:type="dxa" w:w="3200"/>
            <w:shd w:fill="F9FAFB" w:color="auto" w:val="clear"/>
          </w:tcPr>
          <w:p>
            <w:pPr>
              <w:jc w:val="both"/>
            </w:pPr>
            <w:r>
              <w:rPr>
                <w:rFonts w:ascii="Calibri" w:cs="Calibri" w:eastAsia="Calibri" w:hAnsi="Calibri"/>
                <w:color w:val="111827"/>
                <w:sz w:val="18"/>
                <w:szCs w:val="18"/>
              </w:rPr>
              <w:t xml:space="preserve">Inventario de factores de riesgo; categorización de contrapartes.</w:t>
            </w:r>
          </w:p>
        </w:tc>
      </w:tr>
      <w:tr>
        <w:tc>
          <w:tcPr>
            <w:tcW w:type="dxa" w:w="2000"/>
            <w:shd w:fill="FFFFFF" w:color="auto" w:val="clear"/>
          </w:tcPr>
          <w:p>
            <w:pPr>
              <w:jc w:val="both"/>
            </w:pPr>
            <w:r>
              <w:rPr>
                <w:rFonts w:ascii="Calibri" w:cs="Calibri" w:eastAsia="Calibri" w:hAnsi="Calibri"/>
                <w:color w:val="111827"/>
                <w:sz w:val="18"/>
                <w:szCs w:val="18"/>
              </w:rPr>
              <w:t xml:space="preserve">2. Medición / Evaluación</w:t>
            </w:r>
          </w:p>
        </w:tc>
        <w:tc>
          <w:tcPr>
            <w:tcW w:type="dxa" w:w="3800"/>
            <w:shd w:fill="FFFFFF" w:color="auto" w:val="clear"/>
          </w:tcPr>
          <w:p>
            <w:pPr>
              <w:jc w:val="both"/>
            </w:pPr>
            <w:r>
              <w:rPr>
                <w:rFonts w:ascii="Calibri" w:cs="Calibri" w:eastAsia="Calibri" w:hAnsi="Calibri"/>
                <w:color w:val="111827"/>
                <w:sz w:val="18"/>
                <w:szCs w:val="18"/>
              </w:rPr>
              <w:t xml:space="preserve">Medir el nivel de riesgo inherente asociado a cada factor, asignando calificaciones de probabilidad e impacto.</w:t>
            </w:r>
          </w:p>
        </w:tc>
        <w:tc>
          <w:tcPr>
            <w:tcW w:type="dxa" w:w="3200"/>
            <w:shd w:fill="FFFFFF" w:color="auto" w:val="clear"/>
          </w:tcPr>
          <w:p>
            <w:pPr>
              <w:jc w:val="both"/>
            </w:pPr>
            <w:r>
              <w:rPr>
                <w:rFonts w:ascii="Calibri" w:cs="Calibri" w:eastAsia="Calibri" w:hAnsi="Calibri"/>
                <w:color w:val="111827"/>
                <w:sz w:val="18"/>
                <w:szCs w:val="18"/>
              </w:rPr>
              <w:t xml:space="preserve">Matriz de riesgo inherente con calificación Alto / Medio / Bajo.</w:t>
            </w:r>
          </w:p>
        </w:tc>
      </w:tr>
      <w:tr>
        <w:tc>
          <w:tcPr>
            <w:tcW w:type="dxa" w:w="2000"/>
            <w:shd w:fill="F9FAFB" w:color="auto" w:val="clear"/>
          </w:tcPr>
          <w:p>
            <w:pPr>
              <w:jc w:val="both"/>
            </w:pPr>
            <w:r>
              <w:rPr>
                <w:rFonts w:ascii="Calibri" w:cs="Calibri" w:eastAsia="Calibri" w:hAnsi="Calibri"/>
                <w:color w:val="111827"/>
                <w:sz w:val="18"/>
                <w:szCs w:val="18"/>
              </w:rPr>
              <w:t xml:space="preserve">3. Control</w:t>
            </w:r>
          </w:p>
        </w:tc>
        <w:tc>
          <w:tcPr>
            <w:tcW w:type="dxa" w:w="3800"/>
            <w:shd w:fill="F9FAFB" w:color="auto" w:val="clear"/>
          </w:tcPr>
          <w:p>
            <w:pPr>
              <w:jc w:val="both"/>
            </w:pPr>
            <w:r>
              <w:rPr>
                <w:rFonts w:ascii="Calibri" w:cs="Calibri" w:eastAsia="Calibri" w:hAnsi="Calibri"/>
                <w:color w:val="111827"/>
                <w:sz w:val="18"/>
                <w:szCs w:val="18"/>
              </w:rPr>
              <w:t xml:space="preserve">Definir e implementar controles para cada riesgo identificado: debida diligencia, señales de alerta, límites transaccionales, listas restrictivas.</w:t>
            </w:r>
          </w:p>
        </w:tc>
        <w:tc>
          <w:tcPr>
            <w:tcW w:type="dxa" w:w="3200"/>
            <w:shd w:fill="F9FAFB" w:color="auto" w:val="clear"/>
          </w:tcPr>
          <w:p>
            <w:pPr>
              <w:jc w:val="both"/>
            </w:pPr>
            <w:r>
              <w:rPr>
                <w:rFonts w:ascii="Calibri" w:cs="Calibri" w:eastAsia="Calibri" w:hAnsi="Calibri"/>
                <w:color w:val="111827"/>
                <w:sz w:val="18"/>
                <w:szCs w:val="18"/>
              </w:rPr>
              <w:t xml:space="preserve">Manual de controles; procedimientos de DDI; listas de verificación.</w:t>
            </w:r>
          </w:p>
        </w:tc>
      </w:tr>
      <w:tr>
        <w:tc>
          <w:tcPr>
            <w:tcW w:type="dxa" w:w="2000"/>
            <w:shd w:fill="FFFFFF" w:color="auto" w:val="clear"/>
          </w:tcPr>
          <w:p>
            <w:pPr>
              <w:jc w:val="both"/>
            </w:pPr>
            <w:r>
              <w:rPr>
                <w:rFonts w:ascii="Calibri" w:cs="Calibri" w:eastAsia="Calibri" w:hAnsi="Calibri"/>
                <w:color w:val="111827"/>
                <w:sz w:val="18"/>
                <w:szCs w:val="18"/>
              </w:rPr>
              <w:t xml:space="preserve">4. Monitoreo</w:t>
            </w:r>
          </w:p>
        </w:tc>
        <w:tc>
          <w:tcPr>
            <w:tcW w:type="dxa" w:w="3800"/>
            <w:shd w:fill="FFFFFF" w:color="auto" w:val="clear"/>
          </w:tcPr>
          <w:p>
            <w:pPr>
              <w:jc w:val="both"/>
            </w:pPr>
            <w:r>
              <w:rPr>
                <w:rFonts w:ascii="Calibri" w:cs="Calibri" w:eastAsia="Calibri" w:hAnsi="Calibri"/>
                <w:color w:val="111827"/>
                <w:sz w:val="18"/>
                <w:szCs w:val="18"/>
              </w:rPr>
              <w:t xml:space="preserve">Hacer seguimiento continuo al comportamiento transaccional de contrapartes; actualizar la matriz de riesgo al menos cada 2 años.</w:t>
            </w:r>
          </w:p>
        </w:tc>
        <w:tc>
          <w:tcPr>
            <w:tcW w:type="dxa" w:w="3200"/>
            <w:shd w:fill="FFFFFF" w:color="auto" w:val="clear"/>
          </w:tcPr>
          <w:p>
            <w:pPr>
              <w:jc w:val="both"/>
            </w:pPr>
            <w:r>
              <w:rPr>
                <w:rFonts w:ascii="Calibri" w:cs="Calibri" w:eastAsia="Calibri" w:hAnsi="Calibri"/>
                <w:color w:val="111827"/>
                <w:sz w:val="18"/>
                <w:szCs w:val="18"/>
              </w:rPr>
              <w:t xml:space="preserve">Alertas transaccionales; registros de monitoreo; informe periódico del Oficial.</w:t>
            </w:r>
          </w:p>
        </w:tc>
      </w:tr>
      <w:tr>
        <w:tc>
          <w:tcPr>
            <w:tcW w:type="dxa" w:w="2000"/>
            <w:shd w:fill="F9FAFB" w:color="auto" w:val="clear"/>
          </w:tcPr>
          <w:p>
            <w:pPr>
              <w:jc w:val="both"/>
            </w:pPr>
            <w:r>
              <w:rPr>
                <w:rFonts w:ascii="Calibri" w:cs="Calibri" w:eastAsia="Calibri" w:hAnsi="Calibri"/>
                <w:color w:val="111827"/>
                <w:sz w:val="18"/>
                <w:szCs w:val="18"/>
              </w:rPr>
              <w:t xml:space="preserve">5. Comunicación</w:t>
            </w:r>
          </w:p>
        </w:tc>
        <w:tc>
          <w:tcPr>
            <w:tcW w:type="dxa" w:w="3800"/>
            <w:shd w:fill="F9FAFB" w:color="auto" w:val="clear"/>
          </w:tcPr>
          <w:p>
            <w:pPr>
              <w:jc w:val="both"/>
            </w:pPr>
            <w:r>
              <w:rPr>
                <w:rFonts w:ascii="Calibri" w:cs="Calibri" w:eastAsia="Calibri" w:hAnsi="Calibri"/>
                <w:color w:val="111827"/>
                <w:sz w:val="18"/>
                <w:szCs w:val="18"/>
              </w:rPr>
              <w:t xml:space="preserve">Reportar operaciones sospechosas a la UIAF (ROS/AROS); presentar Informe 75 a Supersociedades; comunicar resultados a la Junta Directiva.</w:t>
            </w:r>
          </w:p>
        </w:tc>
        <w:tc>
          <w:tcPr>
            <w:tcW w:type="dxa" w:w="3200"/>
            <w:shd w:fill="F9FAFB" w:color="auto" w:val="clear"/>
          </w:tcPr>
          <w:p>
            <w:pPr>
              <w:jc w:val="both"/>
            </w:pPr>
            <w:r>
              <w:rPr>
                <w:rFonts w:ascii="Calibri" w:cs="Calibri" w:eastAsia="Calibri" w:hAnsi="Calibri"/>
                <w:color w:val="111827"/>
                <w:sz w:val="18"/>
                <w:szCs w:val="18"/>
              </w:rPr>
              <w:t xml:space="preserve">ROS en SIREL-UIAF; AROS trimestrales; Informe 75 anual.</w:t>
            </w:r>
          </w:p>
        </w:tc>
      </w:tr>
    </w:tbl>
    <w:p>
      <w:pPr>
        <w:spacing w:after="80" w:before="80"/>
      </w:pPr>
    </w:p>
    <w:p>
      <w:pPr>
        <w:pBdr>
          <w:bottom w:val="single" w:color="122EEF" w:sz="6"/>
        </w:pBdr>
        <w:spacing w:after="180" w:before="400"/>
      </w:pPr>
      <w:r>
        <w:rPr>
          <w:rFonts w:ascii="Calibri" w:cs="Calibri" w:eastAsia="Calibri" w:hAnsi="Calibri"/>
          <w:b/>
          <w:bCs/>
          <w:color w:val="111827"/>
          <w:sz w:val="28"/>
          <w:szCs w:val="28"/>
        </w:rPr>
        <w:t xml:space="preserve">4.2 Matriz de Riesgo — Esquema de Calificación</w:t>
      </w:r>
    </w:p>
    <w:p>
      <w:pPr>
        <w:spacing w:after="80" w:before="80"/>
        <w:jc w:val="both"/>
      </w:pPr>
      <w:r>
        <w:rPr>
          <w:rFonts w:ascii="Calibri" w:cs="Calibri" w:eastAsia="Calibri" w:hAnsi="Calibri"/>
          <w:color w:val="111827"/>
          <w:sz w:val="20"/>
          <w:szCs w:val="20"/>
        </w:rPr>
        <w:t xml:space="preserve">La matriz de riesgo LA/FT/FPADM de VIP PASS se construye evaluando la PROBABILIDAD de ocurrencia y el IMPACTO potencial de cada evento de riesgo:</w:t>
      </w:r>
    </w:p>
    <w:p>
      <w:pPr>
        <w:spacing w:after="80" w:before="8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W w:type="dxa" w:w="2000"/>
            <w:shd w:fill="122EEF" w:color="auto" w:val="clear"/>
          </w:tcPr>
          <w:p>
            <w:pPr>
              <w:jc w:val="center"/>
            </w:pPr>
            <w:r>
              <w:rPr>
                <w:rFonts w:ascii="Calibri" w:cs="Calibri" w:eastAsia="Calibri" w:hAnsi="Calibri"/>
                <w:b/>
                <w:bCs/>
                <w:color w:val="FFFFFF"/>
                <w:sz w:val="19"/>
                <w:szCs w:val="19"/>
              </w:rPr>
              <w:t xml:space="preserve"/>
            </w:r>
          </w:p>
        </w:tc>
        <w:tc>
          <w:tcPr>
            <w:tcW w:type="dxa" w:w="2333"/>
            <w:shd w:fill="122EEF" w:color="auto" w:val="clear"/>
          </w:tcPr>
          <w:p>
            <w:pPr>
              <w:jc w:val="center"/>
            </w:pPr>
            <w:r>
              <w:rPr>
                <w:rFonts w:ascii="Calibri" w:cs="Calibri" w:eastAsia="Calibri" w:hAnsi="Calibri"/>
                <w:b/>
                <w:bCs/>
                <w:color w:val="FFFFFF"/>
                <w:sz w:val="19"/>
                <w:szCs w:val="19"/>
              </w:rPr>
              <w:t xml:space="preserve">Impacto BAJO</w:t>
            </w:r>
          </w:p>
        </w:tc>
        <w:tc>
          <w:tcPr>
            <w:tcW w:type="dxa" w:w="2333"/>
            <w:shd w:fill="122EEF" w:color="auto" w:val="clear"/>
          </w:tcPr>
          <w:p>
            <w:pPr>
              <w:jc w:val="center"/>
            </w:pPr>
            <w:r>
              <w:rPr>
                <w:rFonts w:ascii="Calibri" w:cs="Calibri" w:eastAsia="Calibri" w:hAnsi="Calibri"/>
                <w:b/>
                <w:bCs/>
                <w:color w:val="FFFFFF"/>
                <w:sz w:val="19"/>
                <w:szCs w:val="19"/>
              </w:rPr>
              <w:t xml:space="preserve">Impacto MEDIO</w:t>
            </w:r>
          </w:p>
        </w:tc>
        <w:tc>
          <w:tcPr>
            <w:tcW w:type="dxa" w:w="2334"/>
            <w:shd w:fill="122EEF" w:color="auto" w:val="clear"/>
          </w:tcPr>
          <w:p>
            <w:pPr>
              <w:jc w:val="center"/>
            </w:pPr>
            <w:r>
              <w:rPr>
                <w:rFonts w:ascii="Calibri" w:cs="Calibri" w:eastAsia="Calibri" w:hAnsi="Calibri"/>
                <w:b/>
                <w:bCs/>
                <w:color w:val="FFFFFF"/>
                <w:sz w:val="19"/>
                <w:szCs w:val="19"/>
              </w:rPr>
              <w:t xml:space="preserve">Impacto ALTO</w:t>
            </w:r>
          </w:p>
        </w:tc>
      </w:tr>
      <w:tr>
        <w:tc>
          <w:tcPr>
            <w:tcW w:type="dxa" w:w="2000"/>
            <w:shd w:fill="F9FAFB" w:color="auto" w:val="clear"/>
          </w:tcPr>
          <w:p>
            <w:pPr>
              <w:jc w:val="both"/>
            </w:pPr>
            <w:r>
              <w:rPr>
                <w:rFonts w:ascii="Calibri" w:cs="Calibri" w:eastAsia="Calibri" w:hAnsi="Calibri"/>
                <w:color w:val="111827"/>
                <w:sz w:val="18"/>
                <w:szCs w:val="18"/>
              </w:rPr>
              <w:t xml:space="preserve">Probabilidad ALTA</w:t>
            </w:r>
          </w:p>
        </w:tc>
        <w:tc>
          <w:tcPr>
            <w:tcW w:type="dxa" w:w="2333"/>
            <w:shd w:fill="F9FAFB" w:color="auto" w:val="clear"/>
          </w:tcPr>
          <w:p>
            <w:pPr>
              <w:jc w:val="both"/>
            </w:pPr>
            <w:r>
              <w:rPr>
                <w:rFonts w:ascii="Calibri" w:cs="Calibri" w:eastAsia="Calibri" w:hAnsi="Calibri"/>
                <w:color w:val="111827"/>
                <w:sz w:val="18"/>
                <w:szCs w:val="18"/>
              </w:rPr>
              <w:t xml:space="preserve">MEDIO</w:t>
            </w:r>
          </w:p>
        </w:tc>
        <w:tc>
          <w:tcPr>
            <w:tcW w:type="dxa" w:w="2333"/>
            <w:shd w:fill="F9FAFB" w:color="auto" w:val="clear"/>
          </w:tcPr>
          <w:p>
            <w:pPr>
              <w:jc w:val="both"/>
            </w:pPr>
            <w:r>
              <w:rPr>
                <w:rFonts w:ascii="Calibri" w:cs="Calibri" w:eastAsia="Calibri" w:hAnsi="Calibri"/>
                <w:color w:val="111827"/>
                <w:sz w:val="18"/>
                <w:szCs w:val="18"/>
              </w:rPr>
              <w:t xml:space="preserve">ALTO</w:t>
            </w:r>
          </w:p>
        </w:tc>
        <w:tc>
          <w:tcPr>
            <w:tcW w:type="dxa" w:w="2334"/>
            <w:shd w:fill="F9FAFB" w:color="auto" w:val="clear"/>
          </w:tcPr>
          <w:p>
            <w:pPr>
              <w:jc w:val="both"/>
            </w:pPr>
            <w:r>
              <w:rPr>
                <w:rFonts w:ascii="Calibri" w:cs="Calibri" w:eastAsia="Calibri" w:hAnsi="Calibri"/>
                <w:color w:val="111827"/>
                <w:sz w:val="18"/>
                <w:szCs w:val="18"/>
              </w:rPr>
              <w:t xml:space="preserve">MUY ALTO</w:t>
            </w:r>
          </w:p>
        </w:tc>
      </w:tr>
      <w:tr>
        <w:tc>
          <w:tcPr>
            <w:tcW w:type="dxa" w:w="2000"/>
            <w:shd w:fill="FFFFFF" w:color="auto" w:val="clear"/>
          </w:tcPr>
          <w:p>
            <w:pPr>
              <w:jc w:val="both"/>
            </w:pPr>
            <w:r>
              <w:rPr>
                <w:rFonts w:ascii="Calibri" w:cs="Calibri" w:eastAsia="Calibri" w:hAnsi="Calibri"/>
                <w:color w:val="111827"/>
                <w:sz w:val="18"/>
                <w:szCs w:val="18"/>
              </w:rPr>
              <w:t xml:space="preserve">Probabilidad MEDIA</w:t>
            </w:r>
          </w:p>
        </w:tc>
        <w:tc>
          <w:tcPr>
            <w:tcW w:type="dxa" w:w="2333"/>
            <w:shd w:fill="FFFFFF" w:color="auto" w:val="clear"/>
          </w:tcPr>
          <w:p>
            <w:pPr>
              <w:jc w:val="both"/>
            </w:pPr>
            <w:r>
              <w:rPr>
                <w:rFonts w:ascii="Calibri" w:cs="Calibri" w:eastAsia="Calibri" w:hAnsi="Calibri"/>
                <w:color w:val="111827"/>
                <w:sz w:val="18"/>
                <w:szCs w:val="18"/>
              </w:rPr>
              <w:t xml:space="preserve">BAJO</w:t>
            </w:r>
          </w:p>
        </w:tc>
        <w:tc>
          <w:tcPr>
            <w:tcW w:type="dxa" w:w="2333"/>
            <w:shd w:fill="FFFFFF" w:color="auto" w:val="clear"/>
          </w:tcPr>
          <w:p>
            <w:pPr>
              <w:jc w:val="both"/>
            </w:pPr>
            <w:r>
              <w:rPr>
                <w:rFonts w:ascii="Calibri" w:cs="Calibri" w:eastAsia="Calibri" w:hAnsi="Calibri"/>
                <w:color w:val="111827"/>
                <w:sz w:val="18"/>
                <w:szCs w:val="18"/>
              </w:rPr>
              <w:t xml:space="preserve">MEDIO</w:t>
            </w:r>
          </w:p>
        </w:tc>
        <w:tc>
          <w:tcPr>
            <w:tcW w:type="dxa" w:w="2334"/>
            <w:shd w:fill="FFFFFF" w:color="auto" w:val="clear"/>
          </w:tcPr>
          <w:p>
            <w:pPr>
              <w:jc w:val="both"/>
            </w:pPr>
            <w:r>
              <w:rPr>
                <w:rFonts w:ascii="Calibri" w:cs="Calibri" w:eastAsia="Calibri" w:hAnsi="Calibri"/>
                <w:color w:val="111827"/>
                <w:sz w:val="18"/>
                <w:szCs w:val="18"/>
              </w:rPr>
              <w:t xml:space="preserve">ALTO</w:t>
            </w:r>
          </w:p>
        </w:tc>
      </w:tr>
      <w:tr>
        <w:tc>
          <w:tcPr>
            <w:tcW w:type="dxa" w:w="2000"/>
            <w:shd w:fill="F9FAFB" w:color="auto" w:val="clear"/>
          </w:tcPr>
          <w:p>
            <w:pPr>
              <w:jc w:val="both"/>
            </w:pPr>
            <w:r>
              <w:rPr>
                <w:rFonts w:ascii="Calibri" w:cs="Calibri" w:eastAsia="Calibri" w:hAnsi="Calibri"/>
                <w:color w:val="111827"/>
                <w:sz w:val="18"/>
                <w:szCs w:val="18"/>
              </w:rPr>
              <w:t xml:space="preserve">Probabilidad BAJA</w:t>
            </w:r>
          </w:p>
        </w:tc>
        <w:tc>
          <w:tcPr>
            <w:tcW w:type="dxa" w:w="2333"/>
            <w:shd w:fill="F9FAFB" w:color="auto" w:val="clear"/>
          </w:tcPr>
          <w:p>
            <w:pPr>
              <w:jc w:val="both"/>
            </w:pPr>
            <w:r>
              <w:rPr>
                <w:rFonts w:ascii="Calibri" w:cs="Calibri" w:eastAsia="Calibri" w:hAnsi="Calibri"/>
                <w:color w:val="111827"/>
                <w:sz w:val="18"/>
                <w:szCs w:val="18"/>
              </w:rPr>
              <w:t xml:space="preserve">MUY BAJO</w:t>
            </w:r>
          </w:p>
        </w:tc>
        <w:tc>
          <w:tcPr>
            <w:tcW w:type="dxa" w:w="2333"/>
            <w:shd w:fill="F9FAFB" w:color="auto" w:val="clear"/>
          </w:tcPr>
          <w:p>
            <w:pPr>
              <w:jc w:val="both"/>
            </w:pPr>
            <w:r>
              <w:rPr>
                <w:rFonts w:ascii="Calibri" w:cs="Calibri" w:eastAsia="Calibri" w:hAnsi="Calibri"/>
                <w:color w:val="111827"/>
                <w:sz w:val="18"/>
                <w:szCs w:val="18"/>
              </w:rPr>
              <w:t xml:space="preserve">BAJO</w:t>
            </w:r>
          </w:p>
        </w:tc>
        <w:tc>
          <w:tcPr>
            <w:tcW w:type="dxa" w:w="2334"/>
            <w:shd w:fill="F9FAFB" w:color="auto" w:val="clear"/>
          </w:tcPr>
          <w:p>
            <w:pPr>
              <w:jc w:val="both"/>
            </w:pPr>
            <w:r>
              <w:rPr>
                <w:rFonts w:ascii="Calibri" w:cs="Calibri" w:eastAsia="Calibri" w:hAnsi="Calibri"/>
                <w:color w:val="111827"/>
                <w:sz w:val="18"/>
                <w:szCs w:val="18"/>
              </w:rPr>
              <w:t xml:space="preserve">MEDIO</w:t>
            </w:r>
          </w:p>
        </w:tc>
      </w:tr>
    </w:tbl>
    <w:p>
      <w:pPr>
        <w:spacing w:after="80" w:before="80"/>
      </w:pPr>
    </w:p>
    <w:p>
      <w:pPr>
        <w:spacing w:after="80" w:before="80"/>
        <w:jc w:val="both"/>
      </w:pPr>
      <w:r>
        <w:rPr>
          <w:rFonts w:ascii="Calibri" w:cs="Calibri" w:eastAsia="Calibri" w:hAnsi="Calibri"/>
          <w:color w:val="111827"/>
          <w:sz w:val="20"/>
          <w:szCs w:val="20"/>
        </w:rPr>
        <w:t xml:space="preserve">Calificación del riesgo residual (después de controles): MUY BAJO y BAJO = aceptable; MEDIO = requiere seguimiento reforzado; ALTO y MUY ALTO = requiere controles adicionales urgentes y posible reporte a la UIAF.</w:t>
      </w:r>
    </w:p>
    <w:p>
      <w:pPr>
        <w:pBdr>
          <w:bottom w:val="thick" w:color="122EEF" w:sz="10"/>
        </w:pBdr>
        <w:spacing w:after="260" w:before="600"/>
      </w:pPr>
      <w:r>
        <w:rPr>
          <w:rFonts w:ascii="Calibri" w:cs="Calibri" w:eastAsia="Calibri" w:hAnsi="Calibri"/>
          <w:b/>
          <w:bCs/>
          <w:color w:val="122EEF"/>
          <w:sz w:val="38"/>
          <w:szCs w:val="38"/>
        </w:rPr>
        <w:t xml:space="preserve">5. CONOCIMIENTO DEL CLIENTE Y DEBIDA DILIGENCIA</w:t>
      </w:r>
    </w:p>
    <w:p>
      <w:pPr>
        <w:pBdr>
          <w:bottom w:val="single" w:color="122EEF" w:sz="6"/>
        </w:pBdr>
        <w:spacing w:after="180" w:before="400"/>
      </w:pPr>
      <w:r>
        <w:rPr>
          <w:rFonts w:ascii="Calibri" w:cs="Calibri" w:eastAsia="Calibri" w:hAnsi="Calibri"/>
          <w:b/>
          <w:bCs/>
          <w:color w:val="111827"/>
          <w:sz w:val="28"/>
          <w:szCs w:val="28"/>
        </w:rPr>
        <w:t xml:space="preserve">5.1 Segmentación de contrapartes por nivel de riesgo</w:t>
      </w:r>
    </w:p>
    <w:p>
      <w:pPr>
        <w:spacing w:after="80" w:before="8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W w:type="dxa" w:w="2200"/>
            <w:shd w:fill="122EEF" w:color="auto" w:val="clear"/>
          </w:tcPr>
          <w:p>
            <w:pPr>
              <w:jc w:val="center"/>
            </w:pPr>
            <w:r>
              <w:rPr>
                <w:rFonts w:ascii="Calibri" w:cs="Calibri" w:eastAsia="Calibri" w:hAnsi="Calibri"/>
                <w:b/>
                <w:bCs/>
                <w:color w:val="FFFFFF"/>
                <w:sz w:val="19"/>
                <w:szCs w:val="19"/>
              </w:rPr>
              <w:t xml:space="preserve">Segmento</w:t>
            </w:r>
          </w:p>
        </w:tc>
        <w:tc>
          <w:tcPr>
            <w:tcW w:type="dxa" w:w="1500"/>
            <w:shd w:fill="122EEF" w:color="auto" w:val="clear"/>
          </w:tcPr>
          <w:p>
            <w:pPr>
              <w:jc w:val="center"/>
            </w:pPr>
            <w:r>
              <w:rPr>
                <w:rFonts w:ascii="Calibri" w:cs="Calibri" w:eastAsia="Calibri" w:hAnsi="Calibri"/>
                <w:b/>
                <w:bCs/>
                <w:color w:val="FFFFFF"/>
                <w:sz w:val="19"/>
                <w:szCs w:val="19"/>
              </w:rPr>
              <w:t xml:space="preserve">Nivel de riesgo</w:t>
            </w:r>
          </w:p>
        </w:tc>
        <w:tc>
          <w:tcPr>
            <w:tcW w:type="dxa" w:w="3500"/>
            <w:shd w:fill="122EEF" w:color="auto" w:val="clear"/>
          </w:tcPr>
          <w:p>
            <w:pPr>
              <w:jc w:val="center"/>
            </w:pPr>
            <w:r>
              <w:rPr>
                <w:rFonts w:ascii="Calibri" w:cs="Calibri" w:eastAsia="Calibri" w:hAnsi="Calibri"/>
                <w:b/>
                <w:bCs/>
                <w:color w:val="FFFFFF"/>
                <w:sz w:val="19"/>
                <w:szCs w:val="19"/>
              </w:rPr>
              <w:t xml:space="preserve">Debida diligencia aplicable</w:t>
            </w:r>
          </w:p>
        </w:tc>
        <w:tc>
          <w:tcPr>
            <w:tcW w:type="dxa" w:w="1800"/>
            <w:shd w:fill="122EEF" w:color="auto" w:val="clear"/>
          </w:tcPr>
          <w:p>
            <w:pPr>
              <w:jc w:val="center"/>
            </w:pPr>
            <w:r>
              <w:rPr>
                <w:rFonts w:ascii="Calibri" w:cs="Calibri" w:eastAsia="Calibri" w:hAnsi="Calibri"/>
                <w:b/>
                <w:bCs/>
                <w:color w:val="FFFFFF"/>
                <w:sz w:val="19"/>
                <w:szCs w:val="19"/>
              </w:rPr>
              <w:t xml:space="preserve">Frecuencia de actualización</w:t>
            </w:r>
          </w:p>
        </w:tc>
      </w:tr>
      <w:tr>
        <w:tc>
          <w:tcPr>
            <w:tcW w:type="dxa" w:w="2200"/>
            <w:shd w:fill="F9FAFB" w:color="auto" w:val="clear"/>
          </w:tcPr>
          <w:p>
            <w:pPr>
              <w:jc w:val="both"/>
            </w:pPr>
            <w:r>
              <w:rPr>
                <w:rFonts w:ascii="Calibri" w:cs="Calibri" w:eastAsia="Calibri" w:hAnsi="Calibri"/>
                <w:color w:val="111827"/>
                <w:sz w:val="18"/>
                <w:szCs w:val="18"/>
              </w:rPr>
              <w:t xml:space="preserve">Compradores personas naturales — transacciones habituales (&lt; 10 SMMLV)</w:t>
            </w:r>
          </w:p>
        </w:tc>
        <w:tc>
          <w:tcPr>
            <w:tcW w:type="dxa" w:w="1500"/>
            <w:shd w:fill="F9FAFB" w:color="auto" w:val="clear"/>
          </w:tcPr>
          <w:p>
            <w:pPr>
              <w:jc w:val="both"/>
            </w:pPr>
            <w:r>
              <w:rPr>
                <w:rFonts w:ascii="Calibri" w:cs="Calibri" w:eastAsia="Calibri" w:hAnsi="Calibri"/>
                <w:color w:val="111827"/>
                <w:sz w:val="18"/>
                <w:szCs w:val="18"/>
              </w:rPr>
              <w:t xml:space="preserve">BAJO</w:t>
            </w:r>
          </w:p>
        </w:tc>
        <w:tc>
          <w:tcPr>
            <w:tcW w:type="dxa" w:w="3500"/>
            <w:shd w:fill="F9FAFB" w:color="auto" w:val="clear"/>
          </w:tcPr>
          <w:p>
            <w:pPr>
              <w:jc w:val="both"/>
            </w:pPr>
            <w:r>
              <w:rPr>
                <w:rFonts w:ascii="Calibri" w:cs="Calibri" w:eastAsia="Calibri" w:hAnsi="Calibri"/>
                <w:color w:val="111827"/>
                <w:sz w:val="18"/>
                <w:szCs w:val="18"/>
              </w:rPr>
              <w:t xml:space="preserve">Básica: verificación de identidad; consulta en listas restrictivas.</w:t>
            </w:r>
          </w:p>
        </w:tc>
        <w:tc>
          <w:tcPr>
            <w:tcW w:type="dxa" w:w="1800"/>
            <w:shd w:fill="F9FAFB" w:color="auto" w:val="clear"/>
          </w:tcPr>
          <w:p>
            <w:pPr>
              <w:jc w:val="both"/>
            </w:pPr>
            <w:r>
              <w:rPr>
                <w:rFonts w:ascii="Calibri" w:cs="Calibri" w:eastAsia="Calibri" w:hAnsi="Calibri"/>
                <w:color w:val="111827"/>
                <w:sz w:val="18"/>
                <w:szCs w:val="18"/>
              </w:rPr>
              <w:t xml:space="preserve">Al momento de la primera compra</w:t>
            </w:r>
          </w:p>
        </w:tc>
      </w:tr>
      <w:tr>
        <w:tc>
          <w:tcPr>
            <w:tcW w:type="dxa" w:w="2200"/>
            <w:shd w:fill="FFFFFF" w:color="auto" w:val="clear"/>
          </w:tcPr>
          <w:p>
            <w:pPr>
              <w:jc w:val="both"/>
            </w:pPr>
            <w:r>
              <w:rPr>
                <w:rFonts w:ascii="Calibri" w:cs="Calibri" w:eastAsia="Calibri" w:hAnsi="Calibri"/>
                <w:color w:val="111827"/>
                <w:sz w:val="18"/>
                <w:szCs w:val="18"/>
              </w:rPr>
              <w:t xml:space="preserve">Compradores personas naturales — compras de alto volumen o valor (≥ 10 SMMLV o ≥ 20% del aforo)</w:t>
            </w:r>
          </w:p>
        </w:tc>
        <w:tc>
          <w:tcPr>
            <w:tcW w:type="dxa" w:w="1500"/>
            <w:shd w:fill="FFFFFF" w:color="auto" w:val="clear"/>
          </w:tcPr>
          <w:p>
            <w:pPr>
              <w:jc w:val="both"/>
            </w:pPr>
            <w:r>
              <w:rPr>
                <w:rFonts w:ascii="Calibri" w:cs="Calibri" w:eastAsia="Calibri" w:hAnsi="Calibri"/>
                <w:color w:val="111827"/>
                <w:sz w:val="18"/>
                <w:szCs w:val="18"/>
              </w:rPr>
              <w:t xml:space="preserve">MEDIO</w:t>
            </w:r>
          </w:p>
        </w:tc>
        <w:tc>
          <w:tcPr>
            <w:tcW w:type="dxa" w:w="3500"/>
            <w:shd w:fill="FFFFFF" w:color="auto" w:val="clear"/>
          </w:tcPr>
          <w:p>
            <w:pPr>
              <w:jc w:val="both"/>
            </w:pPr>
            <w:r>
              <w:rPr>
                <w:rFonts w:ascii="Calibri" w:cs="Calibri" w:eastAsia="Calibri" w:hAnsi="Calibri"/>
                <w:color w:val="111827"/>
                <w:sz w:val="18"/>
                <w:szCs w:val="18"/>
              </w:rPr>
              <w:t xml:space="preserve">Estándar: verificación de identidad reforzada; origen de fondos; perfil económico.</w:t>
            </w:r>
          </w:p>
        </w:tc>
        <w:tc>
          <w:tcPr>
            <w:tcW w:type="dxa" w:w="1800"/>
            <w:shd w:fill="FFFFFF" w:color="auto" w:val="clear"/>
          </w:tcPr>
          <w:p>
            <w:pPr>
              <w:jc w:val="both"/>
            </w:pPr>
            <w:r>
              <w:rPr>
                <w:rFonts w:ascii="Calibri" w:cs="Calibri" w:eastAsia="Calibri" w:hAnsi="Calibri"/>
                <w:color w:val="111827"/>
                <w:sz w:val="18"/>
                <w:szCs w:val="18"/>
              </w:rPr>
              <w:t xml:space="preserve">Cada transacción relevante</w:t>
            </w:r>
          </w:p>
        </w:tc>
      </w:tr>
      <w:tr>
        <w:tc>
          <w:tcPr>
            <w:tcW w:type="dxa" w:w="2200"/>
            <w:shd w:fill="F9FAFB" w:color="auto" w:val="clear"/>
          </w:tcPr>
          <w:p>
            <w:pPr>
              <w:jc w:val="both"/>
            </w:pPr>
            <w:r>
              <w:rPr>
                <w:rFonts w:ascii="Calibri" w:cs="Calibri" w:eastAsia="Calibri" w:hAnsi="Calibri"/>
                <w:color w:val="111827"/>
                <w:sz w:val="18"/>
                <w:szCs w:val="18"/>
              </w:rPr>
              <w:t xml:space="preserve">Productores de eventos</w:t>
            </w:r>
          </w:p>
        </w:tc>
        <w:tc>
          <w:tcPr>
            <w:tcW w:type="dxa" w:w="1500"/>
            <w:shd w:fill="F9FAFB" w:color="auto" w:val="clear"/>
          </w:tcPr>
          <w:p>
            <w:pPr>
              <w:jc w:val="both"/>
            </w:pPr>
            <w:r>
              <w:rPr>
                <w:rFonts w:ascii="Calibri" w:cs="Calibri" w:eastAsia="Calibri" w:hAnsi="Calibri"/>
                <w:color w:val="111827"/>
                <w:sz w:val="18"/>
                <w:szCs w:val="18"/>
              </w:rPr>
              <w:t xml:space="preserve">MEDIO-ALTO</w:t>
            </w:r>
          </w:p>
        </w:tc>
        <w:tc>
          <w:tcPr>
            <w:tcW w:type="dxa" w:w="3500"/>
            <w:shd w:fill="F9FAFB" w:color="auto" w:val="clear"/>
          </w:tcPr>
          <w:p>
            <w:pPr>
              <w:jc w:val="both"/>
            </w:pPr>
            <w:r>
              <w:rPr>
                <w:rFonts w:ascii="Calibri" w:cs="Calibri" w:eastAsia="Calibri" w:hAnsi="Calibri"/>
                <w:color w:val="111827"/>
                <w:sz w:val="18"/>
                <w:szCs w:val="18"/>
              </w:rPr>
              <w:t xml:space="preserve">Estándar a Intensificada: verificación legal; beneficiario final; origen de fondos del evento; historial comercial.</w:t>
            </w:r>
          </w:p>
        </w:tc>
        <w:tc>
          <w:tcPr>
            <w:tcW w:type="dxa" w:w="1800"/>
            <w:shd w:fill="F9FAFB" w:color="auto" w:val="clear"/>
          </w:tcPr>
          <w:p>
            <w:pPr>
              <w:jc w:val="both"/>
            </w:pPr>
            <w:r>
              <w:rPr>
                <w:rFonts w:ascii="Calibri" w:cs="Calibri" w:eastAsia="Calibri" w:hAnsi="Calibri"/>
                <w:color w:val="111827"/>
                <w:sz w:val="18"/>
                <w:szCs w:val="18"/>
              </w:rPr>
              <w:t xml:space="preserve">Anual y ante cada nuevo evento</w:t>
            </w:r>
          </w:p>
        </w:tc>
      </w:tr>
      <w:tr>
        <w:tc>
          <w:tcPr>
            <w:tcW w:type="dxa" w:w="2200"/>
            <w:shd w:fill="FFFFFF" w:color="auto" w:val="clear"/>
          </w:tcPr>
          <w:p>
            <w:pPr>
              <w:jc w:val="both"/>
            </w:pPr>
            <w:r>
              <w:rPr>
                <w:rFonts w:ascii="Calibri" w:cs="Calibri" w:eastAsia="Calibri" w:hAnsi="Calibri"/>
                <w:color w:val="111827"/>
                <w:sz w:val="18"/>
                <w:szCs w:val="18"/>
              </w:rPr>
              <w:t xml:space="preserve">PEP (Personas Expuestas Políticamente)</w:t>
            </w:r>
          </w:p>
        </w:tc>
        <w:tc>
          <w:tcPr>
            <w:tcW w:type="dxa" w:w="1500"/>
            <w:shd w:fill="FFFFFF" w:color="auto" w:val="clear"/>
          </w:tcPr>
          <w:p>
            <w:pPr>
              <w:jc w:val="both"/>
            </w:pPr>
            <w:r>
              <w:rPr>
                <w:rFonts w:ascii="Calibri" w:cs="Calibri" w:eastAsia="Calibri" w:hAnsi="Calibri"/>
                <w:color w:val="111827"/>
                <w:sz w:val="18"/>
                <w:szCs w:val="18"/>
              </w:rPr>
              <w:t xml:space="preserve">ALTO</w:t>
            </w:r>
          </w:p>
        </w:tc>
        <w:tc>
          <w:tcPr>
            <w:tcW w:type="dxa" w:w="3500"/>
            <w:shd w:fill="FFFFFF" w:color="auto" w:val="clear"/>
          </w:tcPr>
          <w:p>
            <w:pPr>
              <w:jc w:val="both"/>
            </w:pPr>
            <w:r>
              <w:rPr>
                <w:rFonts w:ascii="Calibri" w:cs="Calibri" w:eastAsia="Calibri" w:hAnsi="Calibri"/>
                <w:color w:val="111827"/>
                <w:sz w:val="18"/>
                <w:szCs w:val="18"/>
              </w:rPr>
              <w:t xml:space="preserve">Intensificada (DDI): aprobación del Oficial de Cumplimiento; origen y justificación de fondos; monitoreo continuo.</w:t>
            </w:r>
          </w:p>
        </w:tc>
        <w:tc>
          <w:tcPr>
            <w:tcW w:type="dxa" w:w="1800"/>
            <w:shd w:fill="FFFFFF" w:color="auto" w:val="clear"/>
          </w:tcPr>
          <w:p>
            <w:pPr>
              <w:jc w:val="both"/>
            </w:pPr>
            <w:r>
              <w:rPr>
                <w:rFonts w:ascii="Calibri" w:cs="Calibri" w:eastAsia="Calibri" w:hAnsi="Calibri"/>
                <w:color w:val="111827"/>
                <w:sz w:val="18"/>
                <w:szCs w:val="18"/>
              </w:rPr>
              <w:t xml:space="preserve">Cada transacción + revisión semestral</w:t>
            </w:r>
          </w:p>
        </w:tc>
      </w:tr>
      <w:tr>
        <w:tc>
          <w:tcPr>
            <w:tcW w:type="dxa" w:w="2200"/>
            <w:shd w:fill="F9FAFB" w:color="auto" w:val="clear"/>
          </w:tcPr>
          <w:p>
            <w:pPr>
              <w:jc w:val="both"/>
            </w:pPr>
            <w:r>
              <w:rPr>
                <w:rFonts w:ascii="Calibri" w:cs="Calibri" w:eastAsia="Calibri" w:hAnsi="Calibri"/>
                <w:color w:val="111827"/>
                <w:sz w:val="18"/>
                <w:szCs w:val="18"/>
              </w:rPr>
              <w:t xml:space="preserve">Contrapartes en jurisdicciones de alto riesgo GAFI</w:t>
            </w:r>
          </w:p>
        </w:tc>
        <w:tc>
          <w:tcPr>
            <w:tcW w:type="dxa" w:w="1500"/>
            <w:shd w:fill="F9FAFB" w:color="auto" w:val="clear"/>
          </w:tcPr>
          <w:p>
            <w:pPr>
              <w:jc w:val="both"/>
            </w:pPr>
            <w:r>
              <w:rPr>
                <w:rFonts w:ascii="Calibri" w:cs="Calibri" w:eastAsia="Calibri" w:hAnsi="Calibri"/>
                <w:color w:val="111827"/>
                <w:sz w:val="18"/>
                <w:szCs w:val="18"/>
              </w:rPr>
              <w:t xml:space="preserve">ALTO</w:t>
            </w:r>
          </w:p>
        </w:tc>
        <w:tc>
          <w:tcPr>
            <w:tcW w:type="dxa" w:w="3500"/>
            <w:shd w:fill="F9FAFB" w:color="auto" w:val="clear"/>
          </w:tcPr>
          <w:p>
            <w:pPr>
              <w:jc w:val="both"/>
            </w:pPr>
            <w:r>
              <w:rPr>
                <w:rFonts w:ascii="Calibri" w:cs="Calibri" w:eastAsia="Calibri" w:hAnsi="Calibri"/>
                <w:color w:val="111827"/>
                <w:sz w:val="18"/>
                <w:szCs w:val="18"/>
              </w:rPr>
              <w:t xml:space="preserve">Intensificada (DDI): verificación extendida; consulta en listas OFAC/ONU; aprobación del Oficial.</w:t>
            </w:r>
          </w:p>
        </w:tc>
        <w:tc>
          <w:tcPr>
            <w:tcW w:type="dxa" w:w="1800"/>
            <w:shd w:fill="F9FAFB" w:color="auto" w:val="clear"/>
          </w:tcPr>
          <w:p>
            <w:pPr>
              <w:jc w:val="both"/>
            </w:pPr>
            <w:r>
              <w:rPr>
                <w:rFonts w:ascii="Calibri" w:cs="Calibri" w:eastAsia="Calibri" w:hAnsi="Calibri"/>
                <w:color w:val="111827"/>
                <w:sz w:val="18"/>
                <w:szCs w:val="18"/>
              </w:rPr>
              <w:t xml:space="preserve">Cada transacción</w:t>
            </w:r>
          </w:p>
        </w:tc>
      </w:tr>
      <w:tr>
        <w:tc>
          <w:tcPr>
            <w:tcW w:type="dxa" w:w="2200"/>
            <w:shd w:fill="FFFFFF" w:color="auto" w:val="clear"/>
          </w:tcPr>
          <w:p>
            <w:pPr>
              <w:jc w:val="both"/>
            </w:pPr>
            <w:r>
              <w:rPr>
                <w:rFonts w:ascii="Calibri" w:cs="Calibri" w:eastAsia="Calibri" w:hAnsi="Calibri"/>
                <w:color w:val="111827"/>
                <w:sz w:val="18"/>
                <w:szCs w:val="18"/>
              </w:rPr>
              <w:t xml:space="preserve">Proveedores y aliados estratégicos</w:t>
            </w:r>
          </w:p>
        </w:tc>
        <w:tc>
          <w:tcPr>
            <w:tcW w:type="dxa" w:w="1500"/>
            <w:shd w:fill="FFFFFF" w:color="auto" w:val="clear"/>
          </w:tcPr>
          <w:p>
            <w:pPr>
              <w:jc w:val="both"/>
            </w:pPr>
            <w:r>
              <w:rPr>
                <w:rFonts w:ascii="Calibri" w:cs="Calibri" w:eastAsia="Calibri" w:hAnsi="Calibri"/>
                <w:color w:val="111827"/>
                <w:sz w:val="18"/>
                <w:szCs w:val="18"/>
              </w:rPr>
              <w:t xml:space="preserve">MEDIO</w:t>
            </w:r>
          </w:p>
        </w:tc>
        <w:tc>
          <w:tcPr>
            <w:tcW w:type="dxa" w:w="3500"/>
            <w:shd w:fill="FFFFFF" w:color="auto" w:val="clear"/>
          </w:tcPr>
          <w:p>
            <w:pPr>
              <w:jc w:val="both"/>
            </w:pPr>
            <w:r>
              <w:rPr>
                <w:rFonts w:ascii="Calibri" w:cs="Calibri" w:eastAsia="Calibri" w:hAnsi="Calibri"/>
                <w:color w:val="111827"/>
                <w:sz w:val="18"/>
                <w:szCs w:val="18"/>
              </w:rPr>
              <w:t xml:space="preserve">Estándar: verificación legal; beneficiario final; consulta en listas restrictivas.</w:t>
            </w:r>
          </w:p>
        </w:tc>
        <w:tc>
          <w:tcPr>
            <w:tcW w:type="dxa" w:w="1800"/>
            <w:shd w:fill="FFFFFF" w:color="auto" w:val="clear"/>
          </w:tcPr>
          <w:p>
            <w:pPr>
              <w:jc w:val="both"/>
            </w:pPr>
            <w:r>
              <w:rPr>
                <w:rFonts w:ascii="Calibri" w:cs="Calibri" w:eastAsia="Calibri" w:hAnsi="Calibri"/>
                <w:color w:val="111827"/>
                <w:sz w:val="18"/>
                <w:szCs w:val="18"/>
              </w:rPr>
              <w:t xml:space="preserve">Al inicio de la relación y anualmente</w:t>
            </w:r>
          </w:p>
        </w:tc>
      </w:tr>
    </w:tbl>
    <w:p>
      <w:pPr>
        <w:spacing w:after="80" w:before="80"/>
      </w:pPr>
    </w:p>
    <w:p>
      <w:pPr>
        <w:pBdr>
          <w:bottom w:val="single" w:color="122EEF" w:sz="6"/>
        </w:pBdr>
        <w:spacing w:after="180" w:before="400"/>
      </w:pPr>
      <w:r>
        <w:rPr>
          <w:rFonts w:ascii="Calibri" w:cs="Calibri" w:eastAsia="Calibri" w:hAnsi="Calibri"/>
          <w:b/>
          <w:bCs/>
          <w:color w:val="111827"/>
          <w:sz w:val="28"/>
          <w:szCs w:val="28"/>
        </w:rPr>
        <w:t xml:space="preserve">5.2 Procedimiento de Debida Diligencia Básica (DDB)</w:t>
      </w:r>
    </w:p>
    <w:p>
      <w:pPr>
        <w:spacing w:after="140" w:before="280"/>
      </w:pPr>
      <w:r>
        <w:rPr>
          <w:rFonts w:ascii="Calibri" w:cs="Calibri" w:eastAsia="Calibri" w:hAnsi="Calibri"/>
          <w:b/>
          <w:bCs/>
          <w:color w:val="122EEF"/>
          <w:sz w:val="24"/>
          <w:szCs w:val="24"/>
        </w:rPr>
        <w:t xml:space="preserve">Para compradores / clientes:</w:t>
      </w:r>
    </w:p>
    <w:p>
      <w:pPr>
        <w:spacing w:after="100" w:before="100"/>
        <w:ind w:left="360"/>
        <w:jc w:val="both"/>
      </w:pPr>
      <w:r>
        <w:rPr>
          <w:rFonts w:ascii="Calibri" w:cs="Calibri" w:eastAsia="Calibri" w:hAnsi="Calibri"/>
          <w:b/>
          <w:bCs/>
          <w:color w:val="122EEF"/>
          <w:sz w:val="21"/>
          <w:szCs w:val="21"/>
        </w:rPr>
        <w:t xml:space="preserve">Paso 1 — </w:t>
      </w:r>
      <w:r>
        <w:rPr>
          <w:rFonts w:ascii="Calibri" w:cs="Calibri" w:eastAsia="Calibri" w:hAnsi="Calibri"/>
          <w:b/>
          <w:bCs/>
          <w:color w:val="111827"/>
          <w:sz w:val="21"/>
          <w:szCs w:val="21"/>
        </w:rPr>
        <w:t xml:space="preserve">Identificación: </w:t>
      </w:r>
      <w:r>
        <w:rPr>
          <w:rFonts w:ascii="Calibri" w:cs="Calibri" w:eastAsia="Calibri" w:hAnsi="Calibri"/>
          <w:color w:val="111827"/>
          <w:sz w:val="20"/>
          <w:szCs w:val="20"/>
        </w:rPr>
        <w:t xml:space="preserve">Recolectar nombre completo o razón social, número de identificación (cédula, NIT), correo electrónico y datos de contacto en el momento del registro en la Plataforma.</w:t>
      </w:r>
    </w:p>
    <w:p>
      <w:pPr>
        <w:spacing w:after="100" w:before="100"/>
        <w:ind w:left="360"/>
        <w:jc w:val="both"/>
      </w:pPr>
      <w:r>
        <w:rPr>
          <w:rFonts w:ascii="Calibri" w:cs="Calibri" w:eastAsia="Calibri" w:hAnsi="Calibri"/>
          <w:b/>
          <w:bCs/>
          <w:color w:val="122EEF"/>
          <w:sz w:val="21"/>
          <w:szCs w:val="21"/>
        </w:rPr>
        <w:t xml:space="preserve">Paso 2 — </w:t>
      </w:r>
      <w:r>
        <w:rPr>
          <w:rFonts w:ascii="Calibri" w:cs="Calibri" w:eastAsia="Calibri" w:hAnsi="Calibri"/>
          <w:b/>
          <w:bCs/>
          <w:color w:val="111827"/>
          <w:sz w:val="21"/>
          <w:szCs w:val="21"/>
        </w:rPr>
        <w:t xml:space="preserve">Verificación: </w:t>
      </w:r>
      <w:r>
        <w:rPr>
          <w:rFonts w:ascii="Calibri" w:cs="Calibri" w:eastAsia="Calibri" w:hAnsi="Calibri"/>
          <w:color w:val="111827"/>
          <w:sz w:val="20"/>
          <w:szCs w:val="20"/>
        </w:rPr>
        <w:t xml:space="preserve">Consultar los datos del comprador en las siguientes listas al momento del registro y ante transacciones que superen el umbral definido (10 SMMLV o señales de alerta):</w:t>
      </w:r>
    </w:p>
    <w:p>
      <w:pPr>
        <w:spacing w:after="50" w:before="50"/>
        <w:ind w:left="800"/>
        <w:jc w:val="both"/>
      </w:pPr>
      <w:r>
        <w:rPr>
          <w:rFonts w:ascii="Calibri" w:cs="Calibri" w:eastAsia="Calibri" w:hAnsi="Calibri"/>
          <w:color w:val="6B7280"/>
          <w:sz w:val="19"/>
          <w:szCs w:val="19"/>
        </w:rPr>
        <w:t xml:space="preserve">◦  Lista OFAC (Specially Designated Nationals — SDN) del Departamento del Tesoro de EE.UU.</w:t>
      </w:r>
    </w:p>
    <w:p>
      <w:pPr>
        <w:spacing w:after="50" w:before="50"/>
        <w:ind w:left="800"/>
        <w:jc w:val="both"/>
      </w:pPr>
      <w:r>
        <w:rPr>
          <w:rFonts w:ascii="Calibri" w:cs="Calibri" w:eastAsia="Calibri" w:hAnsi="Calibri"/>
          <w:color w:val="6B7280"/>
          <w:sz w:val="19"/>
          <w:szCs w:val="19"/>
        </w:rPr>
        <w:t xml:space="preserve">◦  Listas consolidadas de sanciones del Consejo de Seguridad de la ONU.</w:t>
      </w:r>
    </w:p>
    <w:p>
      <w:pPr>
        <w:spacing w:after="50" w:before="50"/>
        <w:ind w:left="800"/>
        <w:jc w:val="both"/>
      </w:pPr>
      <w:r>
        <w:rPr>
          <w:rFonts w:ascii="Calibri" w:cs="Calibri" w:eastAsia="Calibri" w:hAnsi="Calibri"/>
          <w:color w:val="6B7280"/>
          <w:sz w:val="19"/>
          <w:szCs w:val="19"/>
        </w:rPr>
        <w:t xml:space="preserve">◦  Lista de la Procuraduría General de la Nación (inhabilitados).</w:t>
      </w:r>
    </w:p>
    <w:p>
      <w:pPr>
        <w:spacing w:after="50" w:before="50"/>
        <w:ind w:left="800"/>
        <w:jc w:val="both"/>
      </w:pPr>
      <w:r>
        <w:rPr>
          <w:rFonts w:ascii="Calibri" w:cs="Calibri" w:eastAsia="Calibri" w:hAnsi="Calibri"/>
          <w:color w:val="6B7280"/>
          <w:sz w:val="19"/>
          <w:szCs w:val="19"/>
        </w:rPr>
        <w:t xml:space="preserve">◦  Lista de la Contraloría General de la República (inhabilitados para contratar).</w:t>
      </w:r>
    </w:p>
    <w:p>
      <w:pPr>
        <w:spacing w:after="50" w:before="50"/>
        <w:ind w:left="800"/>
        <w:jc w:val="both"/>
      </w:pPr>
      <w:r>
        <w:rPr>
          <w:rFonts w:ascii="Calibri" w:cs="Calibri" w:eastAsia="Calibri" w:hAnsi="Calibri"/>
          <w:color w:val="6B7280"/>
          <w:sz w:val="19"/>
          <w:szCs w:val="19"/>
        </w:rPr>
        <w:t xml:space="preserve">◦  Sistema de Consulta de UIAF (cuando aplique).</w:t>
      </w:r>
    </w:p>
    <w:p>
      <w:pPr>
        <w:spacing w:after="100" w:before="100"/>
        <w:ind w:left="360"/>
        <w:jc w:val="both"/>
      </w:pPr>
      <w:r>
        <w:rPr>
          <w:rFonts w:ascii="Calibri" w:cs="Calibri" w:eastAsia="Calibri" w:hAnsi="Calibri"/>
          <w:b/>
          <w:bCs/>
          <w:color w:val="122EEF"/>
          <w:sz w:val="21"/>
          <w:szCs w:val="21"/>
        </w:rPr>
        <w:t xml:space="preserve">Paso 3 — </w:t>
      </w:r>
      <w:r>
        <w:rPr>
          <w:rFonts w:ascii="Calibri" w:cs="Calibri" w:eastAsia="Calibri" w:hAnsi="Calibri"/>
          <w:b/>
          <w:bCs/>
          <w:color w:val="111827"/>
          <w:sz w:val="21"/>
          <w:szCs w:val="21"/>
        </w:rPr>
        <w:t xml:space="preserve">Verificación PEP: </w:t>
      </w:r>
      <w:r>
        <w:rPr>
          <w:rFonts w:ascii="Calibri" w:cs="Calibri" w:eastAsia="Calibri" w:hAnsi="Calibri"/>
          <w:color w:val="111827"/>
          <w:sz w:val="20"/>
          <w:szCs w:val="20"/>
        </w:rPr>
        <w:t xml:space="preserve">Consultar si el comprador o sus familiares directos son PEP conforme a la definición de la Supersociedades. Activar DDI si corresponde.</w:t>
      </w:r>
    </w:p>
    <w:p>
      <w:pPr>
        <w:spacing w:after="100" w:before="100"/>
        <w:ind w:left="360"/>
        <w:jc w:val="both"/>
      </w:pPr>
      <w:r>
        <w:rPr>
          <w:rFonts w:ascii="Calibri" w:cs="Calibri" w:eastAsia="Calibri" w:hAnsi="Calibri"/>
          <w:b/>
          <w:bCs/>
          <w:color w:val="122EEF"/>
          <w:sz w:val="21"/>
          <w:szCs w:val="21"/>
        </w:rPr>
        <w:t xml:space="preserve">Paso 4 — </w:t>
      </w:r>
      <w:r>
        <w:rPr>
          <w:rFonts w:ascii="Calibri" w:cs="Calibri" w:eastAsia="Calibri" w:hAnsi="Calibri"/>
          <w:b/>
          <w:bCs/>
          <w:color w:val="111827"/>
          <w:sz w:val="21"/>
          <w:szCs w:val="21"/>
        </w:rPr>
        <w:t xml:space="preserve">Registro: </w:t>
      </w:r>
      <w:r>
        <w:rPr>
          <w:rFonts w:ascii="Calibri" w:cs="Calibri" w:eastAsia="Calibri" w:hAnsi="Calibri"/>
          <w:color w:val="111827"/>
          <w:sz w:val="20"/>
          <w:szCs w:val="20"/>
        </w:rPr>
        <w:t xml:space="preserve">Documentar el resultado de las verificaciones en el sistema de la Plataforma, con fecha, resultado (positivo/negativo en listas) y responsable de la consulta.</w:t>
      </w:r>
    </w:p>
    <w:p>
      <w:pPr>
        <w:pBdr>
          <w:bottom w:val="single" w:color="122EEF" w:sz="6"/>
        </w:pBdr>
        <w:spacing w:after="180" w:before="400"/>
      </w:pPr>
      <w:r>
        <w:rPr>
          <w:rFonts w:ascii="Calibri" w:cs="Calibri" w:eastAsia="Calibri" w:hAnsi="Calibri"/>
          <w:b/>
          <w:bCs/>
          <w:color w:val="111827"/>
          <w:sz w:val="28"/>
          <w:szCs w:val="28"/>
        </w:rPr>
        <w:t xml:space="preserve">5.3 Procedimiento de Debida Diligencia Intensificada (DDI)</w:t>
      </w:r>
    </w:p>
    <w:p>
      <w:pPr>
        <w:spacing w:after="80" w:before="80"/>
        <w:jc w:val="both"/>
      </w:pPr>
      <w:r>
        <w:rPr>
          <w:rFonts w:ascii="Calibri" w:cs="Calibri" w:eastAsia="Calibri" w:hAnsi="Calibri"/>
          <w:color w:val="111827"/>
          <w:sz w:val="20"/>
          <w:szCs w:val="20"/>
        </w:rPr>
        <w:t xml:space="preserve">La DDI aplica para PEP, contrapartes en jurisdicciones de alto riesgo y operaciones que superen umbrales críticos o presenten señales de alerta. Incluye:</w:t>
      </w:r>
    </w:p>
    <w:p>
      <w:pPr>
        <w:spacing w:after="65" w:before="65"/>
        <w:ind w:left="500"/>
        <w:jc w:val="both"/>
      </w:pPr>
      <w:r>
        <w:rPr>
          <w:rFonts w:ascii="Calibri" w:cs="Calibri" w:eastAsia="Calibri" w:hAnsi="Calibri"/>
          <w:color w:val="111827"/>
          <w:sz w:val="20"/>
          <w:szCs w:val="20"/>
        </w:rPr>
        <w:t xml:space="preserve">▸  Aprobación previa del Oficial de Cumplimiento para continuar con la operación.</w:t>
      </w:r>
    </w:p>
    <w:p>
      <w:pPr>
        <w:spacing w:after="65" w:before="65"/>
        <w:ind w:left="500"/>
        <w:jc w:val="both"/>
      </w:pPr>
      <w:r>
        <w:rPr>
          <w:rFonts w:ascii="Calibri" w:cs="Calibri" w:eastAsia="Calibri" w:hAnsi="Calibri"/>
          <w:color w:val="111827"/>
          <w:sz w:val="20"/>
          <w:szCs w:val="20"/>
        </w:rPr>
        <w:t xml:space="preserve">▸  Declaración de origen de fondos firmada por la contraparte.</w:t>
      </w:r>
    </w:p>
    <w:p>
      <w:pPr>
        <w:spacing w:after="65" w:before="65"/>
        <w:ind w:left="500"/>
        <w:jc w:val="both"/>
      </w:pPr>
      <w:r>
        <w:rPr>
          <w:rFonts w:ascii="Calibri" w:cs="Calibri" w:eastAsia="Calibri" w:hAnsi="Calibri"/>
          <w:color w:val="111827"/>
          <w:sz w:val="20"/>
          <w:szCs w:val="20"/>
        </w:rPr>
        <w:t xml:space="preserve">▸  Verificación del beneficiario final real (persona natural que controla la operación).</w:t>
      </w:r>
    </w:p>
    <w:p>
      <w:pPr>
        <w:spacing w:after="65" w:before="65"/>
        <w:ind w:left="500"/>
        <w:jc w:val="both"/>
      </w:pPr>
      <w:r>
        <w:rPr>
          <w:rFonts w:ascii="Calibri" w:cs="Calibri" w:eastAsia="Calibri" w:hAnsi="Calibri"/>
          <w:color w:val="111827"/>
          <w:sz w:val="20"/>
          <w:szCs w:val="20"/>
        </w:rPr>
        <w:t xml:space="preserve">▸  Análisis del propósito económico de la operación y su consistencia con el perfil de la contraparte.</w:t>
      </w:r>
    </w:p>
    <w:p>
      <w:pPr>
        <w:spacing w:after="65" w:before="65"/>
        <w:ind w:left="500"/>
        <w:jc w:val="both"/>
      </w:pPr>
      <w:r>
        <w:rPr>
          <w:rFonts w:ascii="Calibri" w:cs="Calibri" w:eastAsia="Calibri" w:hAnsi="Calibri"/>
          <w:color w:val="111827"/>
          <w:sz w:val="20"/>
          <w:szCs w:val="20"/>
        </w:rPr>
        <w:t xml:space="preserve">▸  Consulta ampliada en fuentes abiertas (medios de comunicación, bases de datos comerciales, redes sociales).</w:t>
      </w:r>
    </w:p>
    <w:p>
      <w:pPr>
        <w:spacing w:after="65" w:before="65"/>
        <w:ind w:left="500"/>
        <w:jc w:val="both"/>
      </w:pPr>
      <w:r>
        <w:rPr>
          <w:rFonts w:ascii="Calibri" w:cs="Calibri" w:eastAsia="Calibri" w:hAnsi="Calibri"/>
          <w:color w:val="111827"/>
          <w:sz w:val="20"/>
          <w:szCs w:val="20"/>
        </w:rPr>
        <w:t xml:space="preserve">▸  Consulta en listas internacionales adicionales: Lista de la UE; Lista del GAFI (países con deficiencias estratégicas).</w:t>
      </w:r>
    </w:p>
    <w:p>
      <w:pPr>
        <w:spacing w:after="65" w:before="65"/>
        <w:ind w:left="500"/>
        <w:jc w:val="both"/>
      </w:pPr>
      <w:r>
        <w:rPr>
          <w:rFonts w:ascii="Calibri" w:cs="Calibri" w:eastAsia="Calibri" w:hAnsi="Calibri"/>
          <w:color w:val="111827"/>
          <w:sz w:val="20"/>
          <w:szCs w:val="20"/>
        </w:rPr>
        <w:t xml:space="preserve">▸  Monitoreo continuo de las transacciones posteriores de la contraparte.</w:t>
      </w:r>
    </w:p>
    <w:p>
      <w:pPr>
        <w:spacing w:after="65" w:before="65"/>
        <w:ind w:left="500"/>
        <w:jc w:val="both"/>
      </w:pPr>
      <w:r>
        <w:rPr>
          <w:rFonts w:ascii="Calibri" w:cs="Calibri" w:eastAsia="Calibri" w:hAnsi="Calibri"/>
          <w:color w:val="111827"/>
          <w:sz w:val="20"/>
          <w:szCs w:val="20"/>
        </w:rPr>
        <w:t xml:space="preserve">▸  Documentación completa de todo el proceso de DDI en el expediente de la contraparte.</w:t>
      </w:r>
    </w:p>
    <w:p>
      <w:pPr>
        <w:spacing w:after="100" w:before="100"/>
        <w:ind w:left="400"/>
        <w:jc w:val="both"/>
      </w:pPr>
      <w:r>
        <w:rPr>
          <w:rFonts w:ascii="Calibri" w:cs="Calibri" w:eastAsia="Calibri" w:hAnsi="Calibri"/>
          <w:i/>
          <w:iCs/>
          <w:color w:val="B45309"/>
          <w:sz w:val="19"/>
          <w:szCs w:val="19"/>
        </w:rPr>
        <w:t xml:space="preserve">⚠  Si tras la DDI no se puede establecer el origen lícito de los fondos o el propósito económico de la operación, el Oficial de Cumplimiento ordenará la NO realización de la operación y evaluará la necesidad de presentar un ROS ante la UIAF.</w:t>
      </w:r>
    </w:p>
    <w:p>
      <w:pPr>
        <w:pBdr>
          <w:bottom w:val="single" w:color="122EEF" w:sz="6"/>
        </w:pBdr>
        <w:spacing w:after="180" w:before="400"/>
      </w:pPr>
      <w:r>
        <w:rPr>
          <w:rFonts w:ascii="Calibri" w:cs="Calibri" w:eastAsia="Calibri" w:hAnsi="Calibri"/>
          <w:b/>
          <w:bCs/>
          <w:color w:val="111827"/>
          <w:sz w:val="28"/>
          <w:szCs w:val="28"/>
        </w:rPr>
        <w:t xml:space="preserve">5.4 Umbrales de reporte y monitoreo transaccional</w:t>
      </w:r>
    </w:p>
    <w:p>
      <w:pPr>
        <w:spacing w:after="80" w:before="8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dxa" w:w="3000"/>
            <w:shd w:fill="122EEF" w:color="auto" w:val="clear"/>
          </w:tcPr>
          <w:p>
            <w:pPr>
              <w:jc w:val="center"/>
            </w:pPr>
            <w:r>
              <w:rPr>
                <w:rFonts w:ascii="Calibri" w:cs="Calibri" w:eastAsia="Calibri" w:hAnsi="Calibri"/>
                <w:b/>
                <w:bCs/>
                <w:color w:val="FFFFFF"/>
                <w:sz w:val="19"/>
                <w:szCs w:val="19"/>
              </w:rPr>
              <w:t xml:space="preserve">Umbral</w:t>
            </w:r>
          </w:p>
        </w:tc>
        <w:tc>
          <w:tcPr>
            <w:tcW w:type="dxa" w:w="4000"/>
            <w:shd w:fill="122EEF" w:color="auto" w:val="clear"/>
          </w:tcPr>
          <w:p>
            <w:pPr>
              <w:jc w:val="center"/>
            </w:pPr>
            <w:r>
              <w:rPr>
                <w:rFonts w:ascii="Calibri" w:cs="Calibri" w:eastAsia="Calibri" w:hAnsi="Calibri"/>
                <w:b/>
                <w:bCs/>
                <w:color w:val="FFFFFF"/>
                <w:sz w:val="19"/>
                <w:szCs w:val="19"/>
              </w:rPr>
              <w:t xml:space="preserve">Acción requerida</w:t>
            </w:r>
          </w:p>
        </w:tc>
        <w:tc>
          <w:tcPr>
            <w:tcW w:type="dxa" w:w="2000"/>
            <w:shd w:fill="122EEF" w:color="auto" w:val="clear"/>
          </w:tcPr>
          <w:p>
            <w:pPr>
              <w:jc w:val="center"/>
            </w:pPr>
            <w:r>
              <w:rPr>
                <w:rFonts w:ascii="Calibri" w:cs="Calibri" w:eastAsia="Calibri" w:hAnsi="Calibri"/>
                <w:b/>
                <w:bCs/>
                <w:color w:val="FFFFFF"/>
                <w:sz w:val="19"/>
                <w:szCs w:val="19"/>
              </w:rPr>
              <w:t xml:space="preserve">Responsable</w:t>
            </w:r>
          </w:p>
        </w:tc>
      </w:tr>
      <w:tr>
        <w:tc>
          <w:tcPr>
            <w:tcW w:type="dxa" w:w="3000"/>
            <w:shd w:fill="F9FAFB" w:color="auto" w:val="clear"/>
          </w:tcPr>
          <w:p>
            <w:pPr>
              <w:jc w:val="both"/>
            </w:pPr>
            <w:r>
              <w:rPr>
                <w:rFonts w:ascii="Calibri" w:cs="Calibri" w:eastAsia="Calibri" w:hAnsi="Calibri"/>
                <w:color w:val="111827"/>
                <w:sz w:val="18"/>
                <w:szCs w:val="18"/>
              </w:rPr>
              <w:t xml:space="preserve">Transacción única ≥ 10 SMMLV (~$13 millones COP 2025)</w:t>
            </w:r>
          </w:p>
        </w:tc>
        <w:tc>
          <w:tcPr>
            <w:tcW w:type="dxa" w:w="4000"/>
            <w:shd w:fill="F9FAFB" w:color="auto" w:val="clear"/>
          </w:tcPr>
          <w:p>
            <w:pPr>
              <w:jc w:val="both"/>
            </w:pPr>
            <w:r>
              <w:rPr>
                <w:rFonts w:ascii="Calibri" w:cs="Calibri" w:eastAsia="Calibri" w:hAnsi="Calibri"/>
                <w:color w:val="111827"/>
                <w:sz w:val="18"/>
                <w:szCs w:val="18"/>
              </w:rPr>
              <w:t xml:space="preserve">Verificación de identidad reforzada. Consulta en listas restrictivas. Declaración de origen de fondos si aplica.</w:t>
            </w:r>
          </w:p>
        </w:tc>
        <w:tc>
          <w:tcPr>
            <w:tcW w:type="dxa" w:w="2000"/>
            <w:shd w:fill="F9FAFB" w:color="auto" w:val="clear"/>
          </w:tcPr>
          <w:p>
            <w:pPr>
              <w:jc w:val="both"/>
            </w:pPr>
            <w:r>
              <w:rPr>
                <w:rFonts w:ascii="Calibri" w:cs="Calibri" w:eastAsia="Calibri" w:hAnsi="Calibri"/>
                <w:color w:val="111827"/>
                <w:sz w:val="18"/>
                <w:szCs w:val="18"/>
              </w:rPr>
              <w:t xml:space="preserve">Plataforma TI + Oficial de Cumplimiento</w:t>
            </w:r>
          </w:p>
        </w:tc>
      </w:tr>
      <w:tr>
        <w:tc>
          <w:tcPr>
            <w:tcW w:type="dxa" w:w="3000"/>
            <w:shd w:fill="FFFFFF" w:color="auto" w:val="clear"/>
          </w:tcPr>
          <w:p>
            <w:pPr>
              <w:jc w:val="both"/>
            </w:pPr>
            <w:r>
              <w:rPr>
                <w:rFonts w:ascii="Calibri" w:cs="Calibri" w:eastAsia="Calibri" w:hAnsi="Calibri"/>
                <w:color w:val="111827"/>
                <w:sz w:val="18"/>
                <w:szCs w:val="18"/>
              </w:rPr>
              <w:t xml:space="preserve">Transacciones acumuladas del mismo comprador ≥ 20 SMMLV en 30 días</w:t>
            </w:r>
          </w:p>
        </w:tc>
        <w:tc>
          <w:tcPr>
            <w:tcW w:type="dxa" w:w="4000"/>
            <w:shd w:fill="FFFFFF" w:color="auto" w:val="clear"/>
          </w:tcPr>
          <w:p>
            <w:pPr>
              <w:jc w:val="both"/>
            </w:pPr>
            <w:r>
              <w:rPr>
                <w:rFonts w:ascii="Calibri" w:cs="Calibri" w:eastAsia="Calibri" w:hAnsi="Calibri"/>
                <w:color w:val="111827"/>
                <w:sz w:val="18"/>
                <w:szCs w:val="18"/>
              </w:rPr>
              <w:t xml:space="preserve">Revisión automática de alerta. Análisis por parte del Oficial de Cumplimiento.</w:t>
            </w:r>
          </w:p>
        </w:tc>
        <w:tc>
          <w:tcPr>
            <w:tcW w:type="dxa" w:w="2000"/>
            <w:shd w:fill="FFFFFF" w:color="auto" w:val="clear"/>
          </w:tcPr>
          <w:p>
            <w:pPr>
              <w:jc w:val="both"/>
            </w:pPr>
            <w:r>
              <w:rPr>
                <w:rFonts w:ascii="Calibri" w:cs="Calibri" w:eastAsia="Calibri" w:hAnsi="Calibri"/>
                <w:color w:val="111827"/>
                <w:sz w:val="18"/>
                <w:szCs w:val="18"/>
              </w:rPr>
              <w:t xml:space="preserve">Oficial de Cumplimiento</w:t>
            </w:r>
          </w:p>
        </w:tc>
      </w:tr>
      <w:tr>
        <w:tc>
          <w:tcPr>
            <w:tcW w:type="dxa" w:w="3000"/>
            <w:shd w:fill="F9FAFB" w:color="auto" w:val="clear"/>
          </w:tcPr>
          <w:p>
            <w:pPr>
              <w:jc w:val="both"/>
            </w:pPr>
            <w:r>
              <w:rPr>
                <w:rFonts w:ascii="Calibri" w:cs="Calibri" w:eastAsia="Calibri" w:hAnsi="Calibri"/>
                <w:color w:val="111827"/>
                <w:sz w:val="18"/>
                <w:szCs w:val="18"/>
              </w:rPr>
              <w:t xml:space="preserve">Transacción ≥ 450 SMMLV (~$585 millones COP 2025)</w:t>
            </w:r>
          </w:p>
        </w:tc>
        <w:tc>
          <w:tcPr>
            <w:tcW w:type="dxa" w:w="4000"/>
            <w:shd w:fill="F9FAFB" w:color="auto" w:val="clear"/>
          </w:tcPr>
          <w:p>
            <w:pPr>
              <w:jc w:val="both"/>
            </w:pPr>
            <w:r>
              <w:rPr>
                <w:rFonts w:ascii="Calibri" w:cs="Calibri" w:eastAsia="Calibri" w:hAnsi="Calibri"/>
                <w:color w:val="111827"/>
                <w:sz w:val="18"/>
                <w:szCs w:val="18"/>
              </w:rPr>
              <w:t xml:space="preserve">DDI obligatoria. Aprobación del Oficial. Posible reporte preventivo a la UIAF.</w:t>
            </w:r>
          </w:p>
        </w:tc>
        <w:tc>
          <w:tcPr>
            <w:tcW w:type="dxa" w:w="2000"/>
            <w:shd w:fill="F9FAFB" w:color="auto" w:val="clear"/>
          </w:tcPr>
          <w:p>
            <w:pPr>
              <w:jc w:val="both"/>
            </w:pPr>
            <w:r>
              <w:rPr>
                <w:rFonts w:ascii="Calibri" w:cs="Calibri" w:eastAsia="Calibri" w:hAnsi="Calibri"/>
                <w:color w:val="111827"/>
                <w:sz w:val="18"/>
                <w:szCs w:val="18"/>
              </w:rPr>
              <w:t xml:space="preserve">Oficial de Cumplimiento + Gerencia</w:t>
            </w:r>
          </w:p>
        </w:tc>
      </w:tr>
      <w:tr>
        <w:tc>
          <w:tcPr>
            <w:tcW w:type="dxa" w:w="3000"/>
            <w:shd w:fill="FFFFFF" w:color="auto" w:val="clear"/>
          </w:tcPr>
          <w:p>
            <w:pPr>
              <w:jc w:val="both"/>
            </w:pPr>
            <w:r>
              <w:rPr>
                <w:rFonts w:ascii="Calibri" w:cs="Calibri" w:eastAsia="Calibri" w:hAnsi="Calibri"/>
                <w:color w:val="111827"/>
                <w:sz w:val="18"/>
                <w:szCs w:val="18"/>
              </w:rPr>
              <w:t xml:space="preserve">Detección de señal de alerta (cualquier monto)</w:t>
            </w:r>
          </w:p>
        </w:tc>
        <w:tc>
          <w:tcPr>
            <w:tcW w:type="dxa" w:w="4000"/>
            <w:shd w:fill="FFFFFF" w:color="auto" w:val="clear"/>
          </w:tcPr>
          <w:p>
            <w:pPr>
              <w:jc w:val="both"/>
            </w:pPr>
            <w:r>
              <w:rPr>
                <w:rFonts w:ascii="Calibri" w:cs="Calibri" w:eastAsia="Calibri" w:hAnsi="Calibri"/>
                <w:color w:val="111827"/>
                <w:sz w:val="18"/>
                <w:szCs w:val="18"/>
              </w:rPr>
              <w:t xml:space="preserve">Activación del protocolo de investigación de operación inusual (ver Sección 6).</w:t>
            </w:r>
          </w:p>
        </w:tc>
        <w:tc>
          <w:tcPr>
            <w:tcW w:type="dxa" w:w="2000"/>
            <w:shd w:fill="FFFFFF" w:color="auto" w:val="clear"/>
          </w:tcPr>
          <w:p>
            <w:pPr>
              <w:jc w:val="both"/>
            </w:pPr>
            <w:r>
              <w:rPr>
                <w:rFonts w:ascii="Calibri" w:cs="Calibri" w:eastAsia="Calibri" w:hAnsi="Calibri"/>
                <w:color w:val="111827"/>
                <w:sz w:val="18"/>
                <w:szCs w:val="18"/>
              </w:rPr>
              <w:t xml:space="preserve">Oficial de Cumplimiento</w:t>
            </w:r>
          </w:p>
        </w:tc>
      </w:tr>
    </w:tbl>
    <w:p>
      <w:pPr>
        <w:pBdr>
          <w:bottom w:val="thick" w:color="122EEF" w:sz="10"/>
        </w:pBdr>
        <w:spacing w:after="260" w:before="600"/>
      </w:pPr>
      <w:r>
        <w:rPr>
          <w:rFonts w:ascii="Calibri" w:cs="Calibri" w:eastAsia="Calibri" w:hAnsi="Calibri"/>
          <w:b/>
          <w:bCs/>
          <w:color w:val="122EEF"/>
          <w:sz w:val="38"/>
          <w:szCs w:val="38"/>
        </w:rPr>
        <w:t xml:space="preserve">6. PROCEDIMIENTO DE DETECCIÓN, ANÁLISIS Y REPORTE DE OPERACIONES SOSPECHOSAS</w:t>
      </w:r>
    </w:p>
    <w:p>
      <w:pPr>
        <w:pBdr>
          <w:bottom w:val="single" w:color="122EEF" w:sz="6"/>
        </w:pBdr>
        <w:spacing w:after="180" w:before="400"/>
      </w:pPr>
      <w:r>
        <w:rPr>
          <w:rFonts w:ascii="Calibri" w:cs="Calibri" w:eastAsia="Calibri" w:hAnsi="Calibri"/>
          <w:b/>
          <w:bCs/>
          <w:color w:val="111827"/>
          <w:sz w:val="28"/>
          <w:szCs w:val="28"/>
        </w:rPr>
        <w:t xml:space="preserve">6.1 Etapas del proceso</w:t>
      </w:r>
    </w:p>
    <w:p>
      <w:pPr>
        <w:spacing w:after="140" w:before="280"/>
      </w:pPr>
      <w:r>
        <w:rPr>
          <w:rFonts w:ascii="Calibri" w:cs="Calibri" w:eastAsia="Calibri" w:hAnsi="Calibri"/>
          <w:b/>
          <w:bCs/>
          <w:color w:val="122EEF"/>
          <w:sz w:val="24"/>
          <w:szCs w:val="24"/>
        </w:rPr>
        <w:t xml:space="preserve">Etapa 1 — Detección de la señal de alerta</w:t>
      </w:r>
    </w:p>
    <w:p>
      <w:pPr>
        <w:spacing w:after="65" w:before="65"/>
        <w:ind w:left="500"/>
        <w:jc w:val="both"/>
      </w:pPr>
      <w:r>
        <w:rPr>
          <w:rFonts w:ascii="Calibri" w:cs="Calibri" w:eastAsia="Calibri" w:hAnsi="Calibri"/>
          <w:color w:val="111827"/>
          <w:sz w:val="20"/>
          <w:szCs w:val="20"/>
        </w:rPr>
        <w:t xml:space="preserve">▸  Los sistemas de la Plataforma (TI) y los colaboradores de VIP PASS detectan una señal de alerta (ver Sección 3.2) durante el proceso de compra, monitoreo transaccional o revisión de contrapartes.</w:t>
      </w:r>
    </w:p>
    <w:p>
      <w:pPr>
        <w:spacing w:after="65" w:before="65"/>
        <w:ind w:left="500"/>
        <w:jc w:val="both"/>
      </w:pPr>
      <w:r>
        <w:rPr>
          <w:rFonts w:ascii="Calibri" w:cs="Calibri" w:eastAsia="Calibri" w:hAnsi="Calibri"/>
          <w:color w:val="111827"/>
          <w:sz w:val="20"/>
          <w:szCs w:val="20"/>
        </w:rPr>
        <w:t xml:space="preserve">▸  Cualquier colaborador que detecte una señal de alerta debe reportarla inmediatamente al Oficial de Cumplimiento mediante el canal interno habilitado (formulario o correo seguro), sin alertar a la contraparte sobre la investigación.</w:t>
      </w:r>
    </w:p>
    <w:p>
      <w:pPr>
        <w:spacing w:after="100" w:before="100"/>
        <w:ind w:left="400"/>
        <w:jc w:val="both"/>
      </w:pPr>
      <w:r>
        <w:rPr>
          <w:rFonts w:ascii="Calibri" w:cs="Calibri" w:eastAsia="Calibri" w:hAnsi="Calibri"/>
          <w:i/>
          <w:iCs/>
          <w:color w:val="B45309"/>
          <w:sz w:val="19"/>
          <w:szCs w:val="19"/>
        </w:rPr>
        <w:t xml:space="preserve">⚠  PROHIBICIÓN EXPRESA: queda completamente prohibido alertar, informar o insinuar a la contraparte investigada que está siendo objeto de análisis por posible LA/FT/FPADM ('tipping off'). Esta conducta puede constituir delito en Colombia.</w:t>
      </w:r>
    </w:p>
    <w:p>
      <w:pPr>
        <w:spacing w:after="140" w:before="280"/>
      </w:pPr>
      <w:r>
        <w:rPr>
          <w:rFonts w:ascii="Calibri" w:cs="Calibri" w:eastAsia="Calibri" w:hAnsi="Calibri"/>
          <w:b/>
          <w:bCs/>
          <w:color w:val="122EEF"/>
          <w:sz w:val="24"/>
          <w:szCs w:val="24"/>
        </w:rPr>
        <w:t xml:space="preserve">Etapa 2 — Registro como operación inusual</w:t>
      </w:r>
    </w:p>
    <w:p>
      <w:pPr>
        <w:spacing w:after="65" w:before="65"/>
        <w:ind w:left="500"/>
        <w:jc w:val="both"/>
      </w:pPr>
      <w:r>
        <w:rPr>
          <w:rFonts w:ascii="Calibri" w:cs="Calibri" w:eastAsia="Calibri" w:hAnsi="Calibri"/>
          <w:color w:val="111827"/>
          <w:sz w:val="20"/>
          <w:szCs w:val="20"/>
        </w:rPr>
        <w:t xml:space="preserve">▸  El Oficial de Cumplimiento registra la señal de alerta en el Registro de Operaciones Inusuales, asignando un número de caso y fecha de inicio del análisis.</w:t>
      </w:r>
    </w:p>
    <w:p>
      <w:pPr>
        <w:spacing w:after="65" w:before="65"/>
        <w:ind w:left="500"/>
        <w:jc w:val="both"/>
      </w:pPr>
      <w:r>
        <w:rPr>
          <w:rFonts w:ascii="Calibri" w:cs="Calibri" w:eastAsia="Calibri" w:hAnsi="Calibri"/>
          <w:color w:val="111827"/>
          <w:sz w:val="20"/>
          <w:szCs w:val="20"/>
        </w:rPr>
        <w:t xml:space="preserve">▸  Se suspende temporalmente la operación en cuestión, de ser posible, hasta obtener el resultado del análisis.</w:t>
      </w:r>
    </w:p>
    <w:p>
      <w:pPr>
        <w:spacing w:after="140" w:before="280"/>
      </w:pPr>
      <w:r>
        <w:rPr>
          <w:rFonts w:ascii="Calibri" w:cs="Calibri" w:eastAsia="Calibri" w:hAnsi="Calibri"/>
          <w:b/>
          <w:bCs/>
          <w:color w:val="122EEF"/>
          <w:sz w:val="24"/>
          <w:szCs w:val="24"/>
        </w:rPr>
        <w:t xml:space="preserve">Etapa 3 — Análisis de la operación</w:t>
      </w:r>
    </w:p>
    <w:p>
      <w:pPr>
        <w:spacing w:after="80" w:before="80"/>
        <w:jc w:val="both"/>
      </w:pPr>
      <w:r>
        <w:rPr>
          <w:rFonts w:ascii="Calibri" w:cs="Calibri" w:eastAsia="Calibri" w:hAnsi="Calibri"/>
          <w:color w:val="111827"/>
          <w:sz w:val="20"/>
          <w:szCs w:val="20"/>
        </w:rPr>
        <w:t xml:space="preserve">El Oficial de Cumplimiento dispone de un plazo máximo de treinta (30) días calendario para analizar la operación inusual. El análisis incluye:</w:t>
      </w:r>
    </w:p>
    <w:p>
      <w:pPr>
        <w:spacing w:after="65" w:before="65"/>
        <w:ind w:left="500"/>
        <w:jc w:val="both"/>
      </w:pPr>
      <w:r>
        <w:rPr>
          <w:rFonts w:ascii="Calibri" w:cs="Calibri" w:eastAsia="Calibri" w:hAnsi="Calibri"/>
          <w:color w:val="111827"/>
          <w:sz w:val="20"/>
          <w:szCs w:val="20"/>
        </w:rPr>
        <w:t xml:space="preserve">▸  Revisión del perfil histórico de la contraparte (compras anteriores, monto habitual, frecuencia).</w:t>
      </w:r>
    </w:p>
    <w:p>
      <w:pPr>
        <w:spacing w:after="65" w:before="65"/>
        <w:ind w:left="500"/>
        <w:jc w:val="both"/>
      </w:pPr>
      <w:r>
        <w:rPr>
          <w:rFonts w:ascii="Calibri" w:cs="Calibri" w:eastAsia="Calibri" w:hAnsi="Calibri"/>
          <w:color w:val="111827"/>
          <w:sz w:val="20"/>
          <w:szCs w:val="20"/>
        </w:rPr>
        <w:t xml:space="preserve">▸  Análisis de la consistencia entre la operación y la actividad económica declarada de la contraparte.</w:t>
      </w:r>
    </w:p>
    <w:p>
      <w:pPr>
        <w:spacing w:after="65" w:before="65"/>
        <w:ind w:left="500"/>
        <w:jc w:val="both"/>
      </w:pPr>
      <w:r>
        <w:rPr>
          <w:rFonts w:ascii="Calibri" w:cs="Calibri" w:eastAsia="Calibri" w:hAnsi="Calibri"/>
          <w:color w:val="111827"/>
          <w:sz w:val="20"/>
          <w:szCs w:val="20"/>
        </w:rPr>
        <w:t xml:space="preserve">▸  Consulta ampliada en listas restrictivas y fuentes abiertas.</w:t>
      </w:r>
    </w:p>
    <w:p>
      <w:pPr>
        <w:spacing w:after="65" w:before="65"/>
        <w:ind w:left="500"/>
        <w:jc w:val="both"/>
      </w:pPr>
      <w:r>
        <w:rPr>
          <w:rFonts w:ascii="Calibri" w:cs="Calibri" w:eastAsia="Calibri" w:hAnsi="Calibri"/>
          <w:color w:val="111827"/>
          <w:sz w:val="20"/>
          <w:szCs w:val="20"/>
        </w:rPr>
        <w:t xml:space="preserve">▸  Solicitud de documentos justificativos a la contraparte (si no genera sospecha el hacerlo).</w:t>
      </w:r>
    </w:p>
    <w:p>
      <w:pPr>
        <w:spacing w:after="65" w:before="65"/>
        <w:ind w:left="500"/>
        <w:jc w:val="both"/>
      </w:pPr>
      <w:r>
        <w:rPr>
          <w:rFonts w:ascii="Calibri" w:cs="Calibri" w:eastAsia="Calibri" w:hAnsi="Calibri"/>
          <w:color w:val="111827"/>
          <w:sz w:val="20"/>
          <w:szCs w:val="20"/>
        </w:rPr>
        <w:t xml:space="preserve">▸  Evaluación del contexto: ¿tiene explicación económica lícita? ¿Corresponde a un patrón conocido de LA/FT?</w:t>
      </w:r>
    </w:p>
    <w:p>
      <w:pPr>
        <w:spacing w:after="140" w:before="280"/>
      </w:pPr>
      <w:r>
        <w:rPr>
          <w:rFonts w:ascii="Calibri" w:cs="Calibri" w:eastAsia="Calibri" w:hAnsi="Calibri"/>
          <w:b/>
          <w:bCs/>
          <w:color w:val="122EEF"/>
          <w:sz w:val="24"/>
          <w:szCs w:val="24"/>
        </w:rPr>
        <w:t xml:space="preserve">Etapa 4 — Calificación: inusual o sospechosa</w:t>
      </w:r>
    </w:p>
    <w:p>
      <w:pPr>
        <w:spacing w:after="80" w:before="80"/>
        <w:jc w:val="both"/>
      </w:pPr>
      <w:r>
        <w:rPr>
          <w:rFonts w:ascii="Calibri" w:cs="Calibri" w:eastAsia="Calibri" w:hAnsi="Calibri"/>
          <w:color w:val="111827"/>
          <w:sz w:val="20"/>
          <w:szCs w:val="20"/>
        </w:rPr>
        <w:t xml:space="preserve">Con base en el análisis, el Oficial de Cumplimiento determina:</w:t>
      </w:r>
    </w:p>
    <w:p>
      <w:pPr>
        <w:spacing w:after="65" w:before="65"/>
        <w:ind w:left="500"/>
        <w:jc w:val="both"/>
      </w:pPr>
      <w:r>
        <w:rPr>
          <w:rFonts w:ascii="Calibri" w:cs="Calibri" w:eastAsia="Calibri" w:hAnsi="Calibri"/>
          <w:color w:val="111827"/>
          <w:sz w:val="20"/>
          <w:szCs w:val="20"/>
        </w:rPr>
        <w:t xml:space="preserve">▸  INUSUAL CON JUSTIFICACIÓN: La operación tiene explicación económica o legal. Se documenta el análisis y se cierra el caso. No se eleva a sospechosa.</w:t>
      </w:r>
    </w:p>
    <w:p>
      <w:pPr>
        <w:spacing w:after="65" w:before="65"/>
        <w:ind w:left="500"/>
        <w:jc w:val="both"/>
      </w:pPr>
      <w:r>
        <w:rPr>
          <w:rFonts w:ascii="Calibri" w:cs="Calibri" w:eastAsia="Calibri" w:hAnsi="Calibri"/>
          <w:color w:val="111827"/>
          <w:sz w:val="20"/>
          <w:szCs w:val="20"/>
        </w:rPr>
        <w:t xml:space="preserve">▸  SOSPECHOSA: La operación no tiene justificación económica o legal evidente o existen indicios de relación con LA/FT/FPADM. Se procede con el ROS.</w:t>
      </w:r>
    </w:p>
    <w:p>
      <w:pPr>
        <w:spacing w:after="140" w:before="280"/>
      </w:pPr>
      <w:r>
        <w:rPr>
          <w:rFonts w:ascii="Calibri" w:cs="Calibri" w:eastAsia="Calibri" w:hAnsi="Calibri"/>
          <w:b/>
          <w:bCs/>
          <w:color w:val="122EEF"/>
          <w:sz w:val="24"/>
          <w:szCs w:val="24"/>
        </w:rPr>
        <w:t xml:space="preserve">Etapa 5 — Reporte de Operación Sospechosa (ROS) a la UIAF</w:t>
      </w:r>
    </w:p>
    <w:p>
      <w:pPr>
        <w:spacing w:after="80" w:before="80"/>
        <w:jc w:val="both"/>
      </w:pPr>
      <w:r>
        <w:rPr>
          <w:rFonts w:ascii="Calibri" w:cs="Calibri" w:eastAsia="Calibri" w:hAnsi="Calibri"/>
          <w:color w:val="111827"/>
          <w:sz w:val="20"/>
          <w:szCs w:val="20"/>
        </w:rPr>
        <w:t xml:space="preserve">Cuando la operación es calificada como sospechosa:</w:t>
      </w:r>
    </w:p>
    <w:p>
      <w:pPr>
        <w:spacing w:after="100" w:before="100"/>
        <w:ind w:left="360"/>
        <w:jc w:val="both"/>
      </w:pPr>
      <w:r>
        <w:rPr>
          <w:rFonts w:ascii="Calibri" w:cs="Calibri" w:eastAsia="Calibri" w:hAnsi="Calibri"/>
          <w:b/>
          <w:bCs/>
          <w:color w:val="122EEF"/>
          <w:sz w:val="21"/>
          <w:szCs w:val="21"/>
        </w:rPr>
        <w:t xml:space="preserve">Paso 1 — </w:t>
      </w:r>
      <w:r>
        <w:rPr>
          <w:rFonts w:ascii="Calibri" w:cs="Calibri" w:eastAsia="Calibri" w:hAnsi="Calibri"/>
          <w:b/>
          <w:bCs/>
          <w:color w:val="111827"/>
          <w:sz w:val="21"/>
          <w:szCs w:val="21"/>
        </w:rPr>
        <w:t xml:space="preserve">Elaboración del ROS: </w:t>
      </w:r>
      <w:r>
        <w:rPr>
          <w:rFonts w:ascii="Calibri" w:cs="Calibri" w:eastAsia="Calibri" w:hAnsi="Calibri"/>
          <w:color w:val="111827"/>
          <w:sz w:val="20"/>
          <w:szCs w:val="20"/>
        </w:rPr>
        <w:t xml:space="preserve">El Oficial de Cumplimiento elabora el Reporte de Operación Sospechosa con toda la información disponible: identificación de la contraparte, descripción de la operación, señales de alerta detectadas, análisis realizado y documentos soporte.</w:t>
      </w:r>
    </w:p>
    <w:p>
      <w:pPr>
        <w:spacing w:after="100" w:before="100"/>
        <w:ind w:left="360"/>
        <w:jc w:val="both"/>
      </w:pPr>
      <w:r>
        <w:rPr>
          <w:rFonts w:ascii="Calibri" w:cs="Calibri" w:eastAsia="Calibri" w:hAnsi="Calibri"/>
          <w:b/>
          <w:bCs/>
          <w:color w:val="122EEF"/>
          <w:sz w:val="21"/>
          <w:szCs w:val="21"/>
        </w:rPr>
        <w:t xml:space="preserve">Paso 2 — </w:t>
      </w:r>
      <w:r>
        <w:rPr>
          <w:rFonts w:ascii="Calibri" w:cs="Calibri" w:eastAsia="Calibri" w:hAnsi="Calibri"/>
          <w:b/>
          <w:bCs/>
          <w:color w:val="111827"/>
          <w:sz w:val="21"/>
          <w:szCs w:val="21"/>
        </w:rPr>
        <w:t xml:space="preserve">Transmisión a la UIAF: </w:t>
      </w:r>
      <w:r>
        <w:rPr>
          <w:rFonts w:ascii="Calibri" w:cs="Calibri" w:eastAsia="Calibri" w:hAnsi="Calibri"/>
          <w:color w:val="111827"/>
          <w:sz w:val="20"/>
          <w:szCs w:val="20"/>
        </w:rPr>
        <w:t xml:space="preserve">El Oficial transmite el ROS de manera inmediata a través del Sistema de Reporte en Línea (SIREL) de la UIAF en www.uiaf.gov.co. No existe plazo máximo legal para el reporte, pero debe hacerse en el menor tiempo posible tras la calificación.</w:t>
      </w:r>
    </w:p>
    <w:p>
      <w:pPr>
        <w:spacing w:after="100" w:before="100"/>
        <w:ind w:left="360"/>
        <w:jc w:val="both"/>
      </w:pPr>
      <w:r>
        <w:rPr>
          <w:rFonts w:ascii="Calibri" w:cs="Calibri" w:eastAsia="Calibri" w:hAnsi="Calibri"/>
          <w:b/>
          <w:bCs/>
          <w:color w:val="122EEF"/>
          <w:sz w:val="21"/>
          <w:szCs w:val="21"/>
        </w:rPr>
        <w:t xml:space="preserve">Paso 3 — </w:t>
      </w:r>
      <w:r>
        <w:rPr>
          <w:rFonts w:ascii="Calibri" w:cs="Calibri" w:eastAsia="Calibri" w:hAnsi="Calibri"/>
          <w:b/>
          <w:bCs/>
          <w:color w:val="111827"/>
          <w:sz w:val="21"/>
          <w:szCs w:val="21"/>
        </w:rPr>
        <w:t xml:space="preserve">Reserva absoluta: </w:t>
      </w:r>
      <w:r>
        <w:rPr>
          <w:rFonts w:ascii="Calibri" w:cs="Calibri" w:eastAsia="Calibri" w:hAnsi="Calibri"/>
          <w:color w:val="111827"/>
          <w:sz w:val="20"/>
          <w:szCs w:val="20"/>
        </w:rPr>
        <w:t xml:space="preserve">El ROS es información reservada. Está terminantemente prohibido dar a conocer a la contraparte, a sus representantes o a terceros el hecho de haber presentado el reporte ('tipping off').</w:t>
      </w:r>
    </w:p>
    <w:p>
      <w:pPr>
        <w:spacing w:after="100" w:before="100"/>
        <w:ind w:left="360"/>
        <w:jc w:val="both"/>
      </w:pPr>
      <w:r>
        <w:rPr>
          <w:rFonts w:ascii="Calibri" w:cs="Calibri" w:eastAsia="Calibri" w:hAnsi="Calibri"/>
          <w:b/>
          <w:bCs/>
          <w:color w:val="122EEF"/>
          <w:sz w:val="21"/>
          <w:szCs w:val="21"/>
        </w:rPr>
        <w:t xml:space="preserve">Paso 4 — </w:t>
      </w:r>
      <w:r>
        <w:rPr>
          <w:rFonts w:ascii="Calibri" w:cs="Calibri" w:eastAsia="Calibri" w:hAnsi="Calibri"/>
          <w:b/>
          <w:bCs/>
          <w:color w:val="111827"/>
          <w:sz w:val="21"/>
          <w:szCs w:val="21"/>
        </w:rPr>
        <w:t xml:space="preserve">Documentación interna: </w:t>
      </w:r>
      <w:r>
        <w:rPr>
          <w:rFonts w:ascii="Calibri" w:cs="Calibri" w:eastAsia="Calibri" w:hAnsi="Calibri"/>
          <w:color w:val="111827"/>
          <w:sz w:val="20"/>
          <w:szCs w:val="20"/>
        </w:rPr>
        <w:t xml:space="preserve">El caso se documenta en el Registro de Operaciones Sospechosas de VIP PASS con: número de ROS, fecha de transmisión a la UIAF, descripción del caso y resultado.</w:t>
      </w:r>
    </w:p>
    <w:p>
      <w:pPr>
        <w:spacing w:after="100" w:before="100"/>
        <w:ind w:left="360"/>
        <w:jc w:val="both"/>
      </w:pPr>
      <w:r>
        <w:rPr>
          <w:rFonts w:ascii="Calibri" w:cs="Calibri" w:eastAsia="Calibri" w:hAnsi="Calibri"/>
          <w:b/>
          <w:bCs/>
          <w:color w:val="122EEF"/>
          <w:sz w:val="21"/>
          <w:szCs w:val="21"/>
        </w:rPr>
        <w:t xml:space="preserve">Paso 5 — </w:t>
      </w:r>
      <w:r>
        <w:rPr>
          <w:rFonts w:ascii="Calibri" w:cs="Calibri" w:eastAsia="Calibri" w:hAnsi="Calibri"/>
          <w:b/>
          <w:bCs/>
          <w:color w:val="111827"/>
          <w:sz w:val="21"/>
          <w:szCs w:val="21"/>
        </w:rPr>
        <w:t xml:space="preserve">Operaciones posteriores: </w:t>
      </w:r>
      <w:r>
        <w:rPr>
          <w:rFonts w:ascii="Calibri" w:cs="Calibri" w:eastAsia="Calibri" w:hAnsi="Calibri"/>
          <w:color w:val="111827"/>
          <w:sz w:val="20"/>
          <w:szCs w:val="20"/>
        </w:rPr>
        <w:t xml:space="preserve">El Oficial evalúa si continuar o cesar la relación comercial con la contraparte, considerando el perfil de riesgo y los resultados del análisis.</w:t>
      </w:r>
    </w:p>
    <w:p>
      <w:pPr>
        <w:spacing w:after="80" w:before="80"/>
        <w:ind w:left="360"/>
        <w:jc w:val="both"/>
      </w:pPr>
      <w:r>
        <w:rPr>
          <w:rFonts w:ascii="Calibri" w:cs="Calibri" w:eastAsia="Calibri" w:hAnsi="Calibri"/>
          <w:i/>
          <w:iCs/>
          <w:color w:val="6B7280"/>
          <w:sz w:val="18"/>
          <w:szCs w:val="18"/>
        </w:rPr>
        <w:t xml:space="preserve">ℹ  El envío del ROS no implica que VIP PASS deba interrumpir necesariamente la relación con la contraparte. Es la UIAF la entidad que, con base en el reporte y su análisis, determinará las acciones correspondientes.</w:t>
      </w:r>
    </w:p>
    <w:p>
      <w:pPr>
        <w:pBdr>
          <w:bottom w:val="single" w:color="122EEF" w:sz="6"/>
        </w:pBdr>
        <w:spacing w:after="180" w:before="400"/>
      </w:pPr>
      <w:r>
        <w:rPr>
          <w:rFonts w:ascii="Calibri" w:cs="Calibri" w:eastAsia="Calibri" w:hAnsi="Calibri"/>
          <w:b/>
          <w:bCs/>
          <w:color w:val="111827"/>
          <w:sz w:val="28"/>
          <w:szCs w:val="28"/>
        </w:rPr>
        <w:t xml:space="preserve">6.2 Reporte de Ausencia de Operación Sospechosa (AROS)</w:t>
      </w:r>
    </w:p>
    <w:p>
      <w:pPr>
        <w:spacing w:after="80" w:before="80"/>
        <w:jc w:val="both"/>
      </w:pPr>
      <w:r>
        <w:rPr>
          <w:rFonts w:ascii="Calibri" w:cs="Calibri" w:eastAsia="Calibri" w:hAnsi="Calibri"/>
          <w:color w:val="111827"/>
          <w:sz w:val="20"/>
          <w:szCs w:val="20"/>
        </w:rPr>
        <w:t xml:space="preserve">Cuando en un trimestre calendario VIP PASS no haya detectado ninguna operación sospechosa, el Oficial de Cumplimiento debe presentar el AROS a la UIAF a través del SIREL dentro de los diez (10) primeros días hábiles del mes siguiente al trimestre reportado.</w:t>
      </w:r>
    </w:p>
    <w:p>
      <w:pPr>
        <w:spacing w:after="80" w:before="8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dxa" w:w="2000"/>
            <w:shd w:fill="122EEF" w:color="auto" w:val="clear"/>
          </w:tcPr>
          <w:p>
            <w:pPr>
              <w:jc w:val="center"/>
            </w:pPr>
            <w:r>
              <w:rPr>
                <w:rFonts w:ascii="Calibri" w:cs="Calibri" w:eastAsia="Calibri" w:hAnsi="Calibri"/>
                <w:b/>
                <w:bCs/>
                <w:color w:val="FFFFFF"/>
                <w:sz w:val="19"/>
                <w:szCs w:val="19"/>
              </w:rPr>
              <w:t xml:space="preserve">Trimestre</w:t>
            </w:r>
          </w:p>
        </w:tc>
        <w:tc>
          <w:tcPr>
            <w:tcW w:type="dxa" w:w="3000"/>
            <w:shd w:fill="122EEF" w:color="auto" w:val="clear"/>
          </w:tcPr>
          <w:p>
            <w:pPr>
              <w:jc w:val="center"/>
            </w:pPr>
            <w:r>
              <w:rPr>
                <w:rFonts w:ascii="Calibri" w:cs="Calibri" w:eastAsia="Calibri" w:hAnsi="Calibri"/>
                <w:b/>
                <w:bCs/>
                <w:color w:val="FFFFFF"/>
                <w:sz w:val="19"/>
                <w:szCs w:val="19"/>
              </w:rPr>
              <w:t xml:space="preserve">Período</w:t>
            </w:r>
          </w:p>
        </w:tc>
        <w:tc>
          <w:tcPr>
            <w:tcW w:type="dxa" w:w="4000"/>
            <w:shd w:fill="122EEF" w:color="auto" w:val="clear"/>
          </w:tcPr>
          <w:p>
            <w:pPr>
              <w:jc w:val="center"/>
            </w:pPr>
            <w:r>
              <w:rPr>
                <w:rFonts w:ascii="Calibri" w:cs="Calibri" w:eastAsia="Calibri" w:hAnsi="Calibri"/>
                <w:b/>
                <w:bCs/>
                <w:color w:val="FFFFFF"/>
                <w:sz w:val="19"/>
                <w:szCs w:val="19"/>
              </w:rPr>
              <w:t xml:space="preserve">Plazo para enviar AROS</w:t>
            </w:r>
          </w:p>
        </w:tc>
      </w:tr>
      <w:tr>
        <w:tc>
          <w:tcPr>
            <w:tcW w:type="dxa" w:w="2000"/>
            <w:shd w:fill="F9FAFB" w:color="auto" w:val="clear"/>
          </w:tcPr>
          <w:p>
            <w:pPr>
              <w:jc w:val="both"/>
            </w:pPr>
            <w:r>
              <w:rPr>
                <w:rFonts w:ascii="Calibri" w:cs="Calibri" w:eastAsia="Calibri" w:hAnsi="Calibri"/>
                <w:color w:val="111827"/>
                <w:sz w:val="18"/>
                <w:szCs w:val="18"/>
              </w:rPr>
              <w:t xml:space="preserve">1°</w:t>
            </w:r>
          </w:p>
        </w:tc>
        <w:tc>
          <w:tcPr>
            <w:tcW w:type="dxa" w:w="3000"/>
            <w:shd w:fill="F9FAFB" w:color="auto" w:val="clear"/>
          </w:tcPr>
          <w:p>
            <w:pPr>
              <w:jc w:val="both"/>
            </w:pPr>
            <w:r>
              <w:rPr>
                <w:rFonts w:ascii="Calibri" w:cs="Calibri" w:eastAsia="Calibri" w:hAnsi="Calibri"/>
                <w:color w:val="111827"/>
                <w:sz w:val="18"/>
                <w:szCs w:val="18"/>
              </w:rPr>
              <w:t xml:space="preserve">Enero — Marzo</w:t>
            </w:r>
          </w:p>
        </w:tc>
        <w:tc>
          <w:tcPr>
            <w:tcW w:type="dxa" w:w="4000"/>
            <w:shd w:fill="F9FAFB" w:color="auto" w:val="clear"/>
          </w:tcPr>
          <w:p>
            <w:pPr>
              <w:jc w:val="both"/>
            </w:pPr>
            <w:r>
              <w:rPr>
                <w:rFonts w:ascii="Calibri" w:cs="Calibri" w:eastAsia="Calibri" w:hAnsi="Calibri"/>
                <w:color w:val="111827"/>
                <w:sz w:val="18"/>
                <w:szCs w:val="18"/>
              </w:rPr>
              <w:t xml:space="preserve">Hasta el 14 de abril</w:t>
            </w:r>
          </w:p>
        </w:tc>
      </w:tr>
      <w:tr>
        <w:tc>
          <w:tcPr>
            <w:tcW w:type="dxa" w:w="2000"/>
            <w:shd w:fill="FFFFFF" w:color="auto" w:val="clear"/>
          </w:tcPr>
          <w:p>
            <w:pPr>
              <w:jc w:val="both"/>
            </w:pPr>
            <w:r>
              <w:rPr>
                <w:rFonts w:ascii="Calibri" w:cs="Calibri" w:eastAsia="Calibri" w:hAnsi="Calibri"/>
                <w:color w:val="111827"/>
                <w:sz w:val="18"/>
                <w:szCs w:val="18"/>
              </w:rPr>
              <w:t xml:space="preserve">2°</w:t>
            </w:r>
          </w:p>
        </w:tc>
        <w:tc>
          <w:tcPr>
            <w:tcW w:type="dxa" w:w="3000"/>
            <w:shd w:fill="FFFFFF" w:color="auto" w:val="clear"/>
          </w:tcPr>
          <w:p>
            <w:pPr>
              <w:jc w:val="both"/>
            </w:pPr>
            <w:r>
              <w:rPr>
                <w:rFonts w:ascii="Calibri" w:cs="Calibri" w:eastAsia="Calibri" w:hAnsi="Calibri"/>
                <w:color w:val="111827"/>
                <w:sz w:val="18"/>
                <w:szCs w:val="18"/>
              </w:rPr>
              <w:t xml:space="preserve">Abril — Junio</w:t>
            </w:r>
          </w:p>
        </w:tc>
        <w:tc>
          <w:tcPr>
            <w:tcW w:type="dxa" w:w="4000"/>
            <w:shd w:fill="FFFFFF" w:color="auto" w:val="clear"/>
          </w:tcPr>
          <w:p>
            <w:pPr>
              <w:jc w:val="both"/>
            </w:pPr>
            <w:r>
              <w:rPr>
                <w:rFonts w:ascii="Calibri" w:cs="Calibri" w:eastAsia="Calibri" w:hAnsi="Calibri"/>
                <w:color w:val="111827"/>
                <w:sz w:val="18"/>
                <w:szCs w:val="18"/>
              </w:rPr>
              <w:t xml:space="preserve">Hasta el 14 de julio</w:t>
            </w:r>
          </w:p>
        </w:tc>
      </w:tr>
      <w:tr>
        <w:tc>
          <w:tcPr>
            <w:tcW w:type="dxa" w:w="2000"/>
            <w:shd w:fill="F9FAFB" w:color="auto" w:val="clear"/>
          </w:tcPr>
          <w:p>
            <w:pPr>
              <w:jc w:val="both"/>
            </w:pPr>
            <w:r>
              <w:rPr>
                <w:rFonts w:ascii="Calibri" w:cs="Calibri" w:eastAsia="Calibri" w:hAnsi="Calibri"/>
                <w:color w:val="111827"/>
                <w:sz w:val="18"/>
                <w:szCs w:val="18"/>
              </w:rPr>
              <w:t xml:space="preserve">3°</w:t>
            </w:r>
          </w:p>
        </w:tc>
        <w:tc>
          <w:tcPr>
            <w:tcW w:type="dxa" w:w="3000"/>
            <w:shd w:fill="F9FAFB" w:color="auto" w:val="clear"/>
          </w:tcPr>
          <w:p>
            <w:pPr>
              <w:jc w:val="both"/>
            </w:pPr>
            <w:r>
              <w:rPr>
                <w:rFonts w:ascii="Calibri" w:cs="Calibri" w:eastAsia="Calibri" w:hAnsi="Calibri"/>
                <w:color w:val="111827"/>
                <w:sz w:val="18"/>
                <w:szCs w:val="18"/>
              </w:rPr>
              <w:t xml:space="preserve">Julio — Septiembre</w:t>
            </w:r>
          </w:p>
        </w:tc>
        <w:tc>
          <w:tcPr>
            <w:tcW w:type="dxa" w:w="4000"/>
            <w:shd w:fill="F9FAFB" w:color="auto" w:val="clear"/>
          </w:tcPr>
          <w:p>
            <w:pPr>
              <w:jc w:val="both"/>
            </w:pPr>
            <w:r>
              <w:rPr>
                <w:rFonts w:ascii="Calibri" w:cs="Calibri" w:eastAsia="Calibri" w:hAnsi="Calibri"/>
                <w:color w:val="111827"/>
                <w:sz w:val="18"/>
                <w:szCs w:val="18"/>
              </w:rPr>
              <w:t xml:space="preserve">Hasta el 14 de octubre</w:t>
            </w:r>
          </w:p>
        </w:tc>
      </w:tr>
      <w:tr>
        <w:tc>
          <w:tcPr>
            <w:tcW w:type="dxa" w:w="2000"/>
            <w:shd w:fill="FFFFFF" w:color="auto" w:val="clear"/>
          </w:tcPr>
          <w:p>
            <w:pPr>
              <w:jc w:val="both"/>
            </w:pPr>
            <w:r>
              <w:rPr>
                <w:rFonts w:ascii="Calibri" w:cs="Calibri" w:eastAsia="Calibri" w:hAnsi="Calibri"/>
                <w:color w:val="111827"/>
                <w:sz w:val="18"/>
                <w:szCs w:val="18"/>
              </w:rPr>
              <w:t xml:space="preserve">4°</w:t>
            </w:r>
          </w:p>
        </w:tc>
        <w:tc>
          <w:tcPr>
            <w:tcW w:type="dxa" w:w="3000"/>
            <w:shd w:fill="FFFFFF" w:color="auto" w:val="clear"/>
          </w:tcPr>
          <w:p>
            <w:pPr>
              <w:jc w:val="both"/>
            </w:pPr>
            <w:r>
              <w:rPr>
                <w:rFonts w:ascii="Calibri" w:cs="Calibri" w:eastAsia="Calibri" w:hAnsi="Calibri"/>
                <w:color w:val="111827"/>
                <w:sz w:val="18"/>
                <w:szCs w:val="18"/>
              </w:rPr>
              <w:t xml:space="preserve">Octubre — Diciembre</w:t>
            </w:r>
          </w:p>
        </w:tc>
        <w:tc>
          <w:tcPr>
            <w:tcW w:type="dxa" w:w="4000"/>
            <w:shd w:fill="FFFFFF" w:color="auto" w:val="clear"/>
          </w:tcPr>
          <w:p>
            <w:pPr>
              <w:jc w:val="both"/>
            </w:pPr>
            <w:r>
              <w:rPr>
                <w:rFonts w:ascii="Calibri" w:cs="Calibri" w:eastAsia="Calibri" w:hAnsi="Calibri"/>
                <w:color w:val="111827"/>
                <w:sz w:val="18"/>
                <w:szCs w:val="18"/>
              </w:rPr>
              <w:t xml:space="preserve">Hasta el 14 de enero del año siguiente</w:t>
            </w:r>
          </w:p>
        </w:tc>
      </w:tr>
    </w:tbl>
    <w:p>
      <w:pPr>
        <w:spacing w:after="80" w:before="80"/>
      </w:pPr>
    </w:p>
    <w:p>
      <w:pPr>
        <w:spacing w:after="100" w:before="100"/>
        <w:ind w:left="400"/>
        <w:jc w:val="both"/>
      </w:pPr>
      <w:r>
        <w:rPr>
          <w:rFonts w:ascii="Calibri" w:cs="Calibri" w:eastAsia="Calibri" w:hAnsi="Calibri"/>
          <w:i/>
          <w:iCs/>
          <w:color w:val="B45309"/>
          <w:sz w:val="19"/>
          <w:szCs w:val="19"/>
        </w:rPr>
        <w:t xml:space="preserve">⚠  El incumplimiento en la presentación de AROS es una de las principales causas de sanciones por parte de la Supersociedades. El AROS acredita que VIP PASS está monitoreando activamente sus operaciones.</w:t>
      </w:r>
    </w:p>
    <w:p>
      <w:pPr>
        <w:pBdr>
          <w:bottom w:val="thick" w:color="122EEF" w:sz="10"/>
        </w:pBdr>
        <w:spacing w:after="260" w:before="600"/>
      </w:pPr>
      <w:r>
        <w:rPr>
          <w:rFonts w:ascii="Calibri" w:cs="Calibri" w:eastAsia="Calibri" w:hAnsi="Calibri"/>
          <w:b/>
          <w:bCs/>
          <w:color w:val="122EEF"/>
          <w:sz w:val="38"/>
          <w:szCs w:val="38"/>
        </w:rPr>
        <w:t xml:space="preserve">7. OFICIAL DE CUMPLIMIENTO</w:t>
      </w:r>
    </w:p>
    <w:p>
      <w:pPr>
        <w:pBdr>
          <w:bottom w:val="single" w:color="122EEF" w:sz="6"/>
        </w:pBdr>
        <w:spacing w:after="180" w:before="400"/>
      </w:pPr>
      <w:r>
        <w:rPr>
          <w:rFonts w:ascii="Calibri" w:cs="Calibri" w:eastAsia="Calibri" w:hAnsi="Calibri"/>
          <w:b/>
          <w:bCs/>
          <w:color w:val="111827"/>
          <w:sz w:val="28"/>
          <w:szCs w:val="28"/>
        </w:rPr>
        <w:t xml:space="preserve">7.1 Perfil y requisitos</w:t>
      </w:r>
    </w:p>
    <w:p>
      <w:pPr>
        <w:spacing w:after="80" w:before="80"/>
        <w:jc w:val="both"/>
      </w:pPr>
      <w:r>
        <w:rPr>
          <w:rFonts w:ascii="Calibri" w:cs="Calibri" w:eastAsia="Calibri" w:hAnsi="Calibri"/>
          <w:color w:val="111827"/>
          <w:sz w:val="20"/>
          <w:szCs w:val="20"/>
        </w:rPr>
        <w:t xml:space="preserve">Conforme al numeral 5.1.4 de la Circular Externa 100-000016/2020:</w:t>
      </w:r>
    </w:p>
    <w:p>
      <w:pPr>
        <w:spacing w:after="65" w:before="65"/>
        <w:ind w:left="500"/>
        <w:jc w:val="both"/>
      </w:pPr>
      <w:r>
        <w:rPr>
          <w:rFonts w:ascii="Calibri" w:cs="Calibri" w:eastAsia="Calibri" w:hAnsi="Calibri"/>
          <w:color w:val="111827"/>
          <w:sz w:val="20"/>
          <w:szCs w:val="20"/>
        </w:rPr>
        <w:t xml:space="preserve">▸  Título profesional universitario en cualquier área del conocimiento.</w:t>
      </w:r>
    </w:p>
    <w:p>
      <w:pPr>
        <w:spacing w:after="65" w:before="65"/>
        <w:ind w:left="500"/>
        <w:jc w:val="both"/>
      </w:pPr>
      <w:r>
        <w:rPr>
          <w:rFonts w:ascii="Calibri" w:cs="Calibri" w:eastAsia="Calibri" w:hAnsi="Calibri"/>
          <w:color w:val="111827"/>
          <w:sz w:val="20"/>
          <w:szCs w:val="20"/>
        </w:rPr>
        <w:t xml:space="preserve">▸  Experiencia mínima de seis (6) meses en administración del Riesgo LA/FT/FPADM o en cargos relacionados con el SAGRILAFT.</w:t>
      </w:r>
    </w:p>
    <w:p>
      <w:pPr>
        <w:spacing w:after="65" w:before="65"/>
        <w:ind w:left="500"/>
        <w:jc w:val="both"/>
      </w:pPr>
      <w:r>
        <w:rPr>
          <w:rFonts w:ascii="Calibri" w:cs="Calibri" w:eastAsia="Calibri" w:hAnsi="Calibri"/>
          <w:color w:val="111827"/>
          <w:sz w:val="20"/>
          <w:szCs w:val="20"/>
        </w:rPr>
        <w:t xml:space="preserve">▸  Conocimiento acreditado en materia LA/FT/FPADM: especialización, cursos, diplomados, seminarios, congresos o programas de entrenamiento de la UIAF.</w:t>
      </w:r>
    </w:p>
    <w:p>
      <w:pPr>
        <w:spacing w:after="65" w:before="65"/>
        <w:ind w:left="500"/>
        <w:jc w:val="both"/>
      </w:pPr>
      <w:r>
        <w:rPr>
          <w:rFonts w:ascii="Calibri" w:cs="Calibri" w:eastAsia="Calibri" w:hAnsi="Calibri"/>
          <w:color w:val="111827"/>
          <w:sz w:val="20"/>
          <w:szCs w:val="20"/>
        </w:rPr>
        <w:t xml:space="preserve">▸  Domicilio en Colombia.</w:t>
      </w:r>
    </w:p>
    <w:p>
      <w:pPr>
        <w:spacing w:after="65" w:before="65"/>
        <w:ind w:left="500"/>
        <w:jc w:val="both"/>
      </w:pPr>
      <w:r>
        <w:rPr>
          <w:rFonts w:ascii="Calibri" w:cs="Calibri" w:eastAsia="Calibri" w:hAnsi="Calibri"/>
          <w:color w:val="111827"/>
          <w:sz w:val="20"/>
          <w:szCs w:val="20"/>
        </w:rPr>
        <w:t xml:space="preserve">▸  No puede desempeñarse como Oficial de Cumplimiento en más de diez (10) empresas obligadas simultáneamente.</w:t>
      </w:r>
    </w:p>
    <w:p>
      <w:pPr>
        <w:spacing w:after="65" w:before="65"/>
        <w:ind w:left="500"/>
        <w:jc w:val="both"/>
      </w:pPr>
      <w:r>
        <w:rPr>
          <w:rFonts w:ascii="Calibri" w:cs="Calibri" w:eastAsia="Calibri" w:hAnsi="Calibri"/>
          <w:color w:val="111827"/>
          <w:sz w:val="20"/>
          <w:szCs w:val="20"/>
        </w:rPr>
        <w:t xml:space="preserve">▸  Debe estar inscrito en el SIREL de la UIAF antes de entrar en ejercicio de sus funciones.</w:t>
      </w:r>
    </w:p>
    <w:p>
      <w:pPr>
        <w:pBdr>
          <w:bottom w:val="single" w:color="122EEF" w:sz="6"/>
        </w:pBdr>
        <w:spacing w:after="180" w:before="400"/>
      </w:pPr>
      <w:r>
        <w:rPr>
          <w:rFonts w:ascii="Calibri" w:cs="Calibri" w:eastAsia="Calibri" w:hAnsi="Calibri"/>
          <w:b/>
          <w:bCs/>
          <w:color w:val="111827"/>
          <w:sz w:val="28"/>
          <w:szCs w:val="28"/>
        </w:rPr>
        <w:t xml:space="preserve">7.2 Designación y reporte</w:t>
      </w:r>
    </w:p>
    <w:p>
      <w:pPr>
        <w:spacing w:after="65" w:before="65"/>
        <w:ind w:left="500"/>
        <w:jc w:val="both"/>
      </w:pPr>
      <w:r>
        <w:rPr>
          <w:rFonts w:ascii="Calibri" w:cs="Calibri" w:eastAsia="Calibri" w:hAnsi="Calibri"/>
          <w:color w:val="111827"/>
          <w:sz w:val="20"/>
          <w:szCs w:val="20"/>
        </w:rPr>
        <w:t xml:space="preserve">▸  El Oficial de Cumplimiento es designado por la Junta Directiva o el Máximo Órgano Social de VIP PASS.</w:t>
      </w:r>
    </w:p>
    <w:p>
      <w:pPr>
        <w:spacing w:after="65" w:before="65"/>
        <w:ind w:left="500"/>
        <w:jc w:val="both"/>
      </w:pPr>
      <w:r>
        <w:rPr>
          <w:rFonts w:ascii="Calibri" w:cs="Calibri" w:eastAsia="Calibri" w:hAnsi="Calibri"/>
          <w:color w:val="111827"/>
          <w:sz w:val="20"/>
          <w:szCs w:val="20"/>
        </w:rPr>
        <w:t xml:space="preserve">▸  Una vez designado, VIP PASS realiza la inscripción en el SIREL de la UIAF (www.uiaf.gov.co), aportando los datos del Oficial y la empresa.</w:t>
      </w:r>
    </w:p>
    <w:p>
      <w:pPr>
        <w:spacing w:after="65" w:before="65"/>
        <w:ind w:left="500"/>
        <w:jc w:val="both"/>
      </w:pPr>
      <w:r>
        <w:rPr>
          <w:rFonts w:ascii="Calibri" w:cs="Calibri" w:eastAsia="Calibri" w:hAnsi="Calibri"/>
          <w:color w:val="111827"/>
          <w:sz w:val="20"/>
          <w:szCs w:val="20"/>
        </w:rPr>
        <w:t xml:space="preserve">▸  El Oficial reporta directamente a la Junta Directiva o al Máximo Órgano Social, con autonomía e independencia funcional.</w:t>
      </w:r>
    </w:p>
    <w:p>
      <w:pPr>
        <w:spacing w:after="65" w:before="65"/>
        <w:ind w:left="500"/>
        <w:jc w:val="both"/>
      </w:pPr>
      <w:r>
        <w:rPr>
          <w:rFonts w:ascii="Calibri" w:cs="Calibri" w:eastAsia="Calibri" w:hAnsi="Calibri"/>
          <w:color w:val="111827"/>
          <w:sz w:val="20"/>
          <w:szCs w:val="20"/>
        </w:rPr>
        <w:t xml:space="preserve">▸  La Gerencia General y todos los colaboradores están obligados a suministrar al Oficial toda la información que requiera para el ejercicio de sus funciones.</w:t>
      </w:r>
    </w:p>
    <w:p>
      <w:pPr>
        <w:pBdr>
          <w:bottom w:val="single" w:color="122EEF" w:sz="6"/>
        </w:pBdr>
        <w:spacing w:after="180" w:before="400"/>
      </w:pPr>
      <w:r>
        <w:rPr>
          <w:rFonts w:ascii="Calibri" w:cs="Calibri" w:eastAsia="Calibri" w:hAnsi="Calibri"/>
          <w:b/>
          <w:bCs/>
          <w:color w:val="111827"/>
          <w:sz w:val="28"/>
          <w:szCs w:val="28"/>
        </w:rPr>
        <w:t xml:space="preserve">7.3 Funciones principales</w:t>
      </w:r>
    </w:p>
    <w:p>
      <w:pPr>
        <w:spacing w:after="65" w:before="65"/>
        <w:ind w:left="500"/>
        <w:jc w:val="both"/>
      </w:pPr>
      <w:r>
        <w:rPr>
          <w:rFonts w:ascii="Calibri" w:cs="Calibri" w:eastAsia="Calibri" w:hAnsi="Calibri"/>
          <w:color w:val="111827"/>
          <w:sz w:val="20"/>
          <w:szCs w:val="20"/>
        </w:rPr>
        <w:t xml:space="preserve">▸  Diseñar, implementar y actualizar el SAGRILAFT de VIP PASS al menos cada dos (2) años.</w:t>
      </w:r>
    </w:p>
    <w:p>
      <w:pPr>
        <w:spacing w:after="65" w:before="65"/>
        <w:ind w:left="500"/>
        <w:jc w:val="both"/>
      </w:pPr>
      <w:r>
        <w:rPr>
          <w:rFonts w:ascii="Calibri" w:cs="Calibri" w:eastAsia="Calibri" w:hAnsi="Calibri"/>
          <w:color w:val="111827"/>
          <w:sz w:val="20"/>
          <w:szCs w:val="20"/>
        </w:rPr>
        <w:t xml:space="preserve">▸  Construir y mantener actualizada la Matriz de Riesgo LA/FT/FPADM.</w:t>
      </w:r>
    </w:p>
    <w:p>
      <w:pPr>
        <w:spacing w:after="65" w:before="65"/>
        <w:ind w:left="500"/>
        <w:jc w:val="both"/>
      </w:pPr>
      <w:r>
        <w:rPr>
          <w:rFonts w:ascii="Calibri" w:cs="Calibri" w:eastAsia="Calibri" w:hAnsi="Calibri"/>
          <w:color w:val="111827"/>
          <w:sz w:val="20"/>
          <w:szCs w:val="20"/>
        </w:rPr>
        <w:t xml:space="preserve">▸  Supervisar la aplicación de los procedimientos de Debida Diligencia y DDI.</w:t>
      </w:r>
    </w:p>
    <w:p>
      <w:pPr>
        <w:spacing w:after="65" w:before="65"/>
        <w:ind w:left="500"/>
        <w:jc w:val="both"/>
      </w:pPr>
      <w:r>
        <w:rPr>
          <w:rFonts w:ascii="Calibri" w:cs="Calibri" w:eastAsia="Calibri" w:hAnsi="Calibri"/>
          <w:color w:val="111827"/>
          <w:sz w:val="20"/>
          <w:szCs w:val="20"/>
        </w:rPr>
        <w:t xml:space="preserve">▸  Detectar, analizar y gestionar las operaciones inusuales y sospechosas.</w:t>
      </w:r>
    </w:p>
    <w:p>
      <w:pPr>
        <w:spacing w:after="65" w:before="65"/>
        <w:ind w:left="500"/>
        <w:jc w:val="both"/>
      </w:pPr>
      <w:r>
        <w:rPr>
          <w:rFonts w:ascii="Calibri" w:cs="Calibri" w:eastAsia="Calibri" w:hAnsi="Calibri"/>
          <w:color w:val="111827"/>
          <w:sz w:val="20"/>
          <w:szCs w:val="20"/>
        </w:rPr>
        <w:t xml:space="preserve">▸  Transmitir los ROS y AROS a la UIAF a través del SIREL.</w:t>
      </w:r>
    </w:p>
    <w:p>
      <w:pPr>
        <w:spacing w:after="65" w:before="65"/>
        <w:ind w:left="500"/>
        <w:jc w:val="both"/>
      </w:pPr>
      <w:r>
        <w:rPr>
          <w:rFonts w:ascii="Calibri" w:cs="Calibri" w:eastAsia="Calibri" w:hAnsi="Calibri"/>
          <w:color w:val="111827"/>
          <w:sz w:val="20"/>
          <w:szCs w:val="20"/>
        </w:rPr>
        <w:t xml:space="preserve">▸  Presentar el Informe 75 a la Superintendencia de Sociedades dentro de los plazos establecidos.</w:t>
      </w:r>
    </w:p>
    <w:p>
      <w:pPr>
        <w:spacing w:after="65" w:before="65"/>
        <w:ind w:left="500"/>
        <w:jc w:val="both"/>
      </w:pPr>
      <w:r>
        <w:rPr>
          <w:rFonts w:ascii="Calibri" w:cs="Calibri" w:eastAsia="Calibri" w:hAnsi="Calibri"/>
          <w:color w:val="111827"/>
          <w:sz w:val="20"/>
          <w:szCs w:val="20"/>
        </w:rPr>
        <w:t xml:space="preserve">▸  Coordinar los programas de capacitación en LA/FT/FPADM para todos los colaboradores.</w:t>
      </w:r>
    </w:p>
    <w:p>
      <w:pPr>
        <w:spacing w:after="65" w:before="65"/>
        <w:ind w:left="500"/>
        <w:jc w:val="both"/>
      </w:pPr>
      <w:r>
        <w:rPr>
          <w:rFonts w:ascii="Calibri" w:cs="Calibri" w:eastAsia="Calibri" w:hAnsi="Calibri"/>
          <w:color w:val="111827"/>
          <w:sz w:val="20"/>
          <w:szCs w:val="20"/>
        </w:rPr>
        <w:t xml:space="preserve">▸  Atender y coordinar requerimientos de autoridades judiciales o administrativas en materia LA/FT/FPADM.</w:t>
      </w:r>
    </w:p>
    <w:p>
      <w:pPr>
        <w:spacing w:after="65" w:before="65"/>
        <w:ind w:left="500"/>
        <w:jc w:val="both"/>
      </w:pPr>
      <w:r>
        <w:rPr>
          <w:rFonts w:ascii="Calibri" w:cs="Calibri" w:eastAsia="Calibri" w:hAnsi="Calibri"/>
          <w:color w:val="111827"/>
          <w:sz w:val="20"/>
          <w:szCs w:val="20"/>
        </w:rPr>
        <w:t xml:space="preserve">▸  Presentar informe anual al Máximo Órgano Social sobre el estado del SAGRILAFT.</w:t>
      </w:r>
    </w:p>
    <w:p>
      <w:pPr>
        <w:spacing w:after="65" w:before="65"/>
        <w:ind w:left="500"/>
        <w:jc w:val="both"/>
      </w:pPr>
      <w:r>
        <w:rPr>
          <w:rFonts w:ascii="Calibri" w:cs="Calibri" w:eastAsia="Calibri" w:hAnsi="Calibri"/>
          <w:color w:val="111827"/>
          <w:sz w:val="20"/>
          <w:szCs w:val="20"/>
        </w:rPr>
        <w:t xml:space="preserve">▸  Proponer mejoras y ajustes al sistema tras incidentes o cambios normativos.</w:t>
      </w:r>
    </w:p>
    <w:p>
      <w:pPr>
        <w:pBdr>
          <w:bottom w:val="thick" w:color="122EEF" w:sz="10"/>
        </w:pBdr>
        <w:spacing w:after="260" w:before="600"/>
      </w:pPr>
      <w:r>
        <w:rPr>
          <w:rFonts w:ascii="Calibri" w:cs="Calibri" w:eastAsia="Calibri" w:hAnsi="Calibri"/>
          <w:b/>
          <w:bCs/>
          <w:color w:val="122EEF"/>
          <w:sz w:val="38"/>
          <w:szCs w:val="38"/>
        </w:rPr>
        <w:t xml:space="preserve">8. INFORME 75 — REPORTE ANUAL A SUPERSOCIEDADES</w:t>
      </w:r>
    </w:p>
    <w:p>
      <w:pPr>
        <w:spacing w:after="80" w:before="80"/>
        <w:jc w:val="both"/>
      </w:pPr>
      <w:r>
        <w:rPr>
          <w:rFonts w:ascii="Calibri" w:cs="Calibri" w:eastAsia="Calibri" w:hAnsi="Calibri"/>
          <w:color w:val="111827"/>
          <w:sz w:val="20"/>
          <w:szCs w:val="20"/>
        </w:rPr>
        <w:t xml:space="preserve">Las empresas obligadas deben presentar el Informe 75 a la Superintendencia de Sociedades a través de la plataforma STORM (Sistema de Transmisión de Información a la Superintendencia de Sociedades) dentro de los plazos definidos por la entidad (generalmente entre el 1° y el 31 de marzo de cada año para el periodo anterior).</w:t>
      </w:r>
    </w:p>
    <w:p>
      <w:pPr>
        <w:spacing w:after="80" w:before="80"/>
        <w:jc w:val="both"/>
      </w:pPr>
      <w:r>
        <w:rPr>
          <w:rFonts w:ascii="Calibri" w:cs="Calibri" w:eastAsia="Calibri" w:hAnsi="Calibri"/>
          <w:color w:val="111827"/>
          <w:sz w:val="20"/>
          <w:szCs w:val="20"/>
        </w:rPr>
        <w:t xml:space="preserve">El Informe 75 incluye:</w:t>
      </w:r>
    </w:p>
    <w:p>
      <w:pPr>
        <w:spacing w:after="65" w:before="65"/>
        <w:ind w:left="500"/>
        <w:jc w:val="both"/>
      </w:pPr>
      <w:r>
        <w:rPr>
          <w:rFonts w:ascii="Calibri" w:cs="Calibri" w:eastAsia="Calibri" w:hAnsi="Calibri"/>
          <w:color w:val="111827"/>
          <w:sz w:val="20"/>
          <w:szCs w:val="20"/>
        </w:rPr>
        <w:t xml:space="preserve">▸  Número de contrapartes verificadas en listas restrictivas.</w:t>
      </w:r>
    </w:p>
    <w:p>
      <w:pPr>
        <w:spacing w:after="65" w:before="65"/>
        <w:ind w:left="500"/>
        <w:jc w:val="both"/>
      </w:pPr>
      <w:r>
        <w:rPr>
          <w:rFonts w:ascii="Calibri" w:cs="Calibri" w:eastAsia="Calibri" w:hAnsi="Calibri"/>
          <w:color w:val="111827"/>
          <w:sz w:val="20"/>
          <w:szCs w:val="20"/>
        </w:rPr>
        <w:t xml:space="preserve">▸  Número de operaciones inusuales detectadas y analizadas.</w:t>
      </w:r>
    </w:p>
    <w:p>
      <w:pPr>
        <w:spacing w:after="65" w:before="65"/>
        <w:ind w:left="500"/>
        <w:jc w:val="both"/>
      </w:pPr>
      <w:r>
        <w:rPr>
          <w:rFonts w:ascii="Calibri" w:cs="Calibri" w:eastAsia="Calibri" w:hAnsi="Calibri"/>
          <w:color w:val="111827"/>
          <w:sz w:val="20"/>
          <w:szCs w:val="20"/>
        </w:rPr>
        <w:t xml:space="preserve">▸  Número de ROS transmitidos a la UIAF.</w:t>
      </w:r>
    </w:p>
    <w:p>
      <w:pPr>
        <w:spacing w:after="65" w:before="65"/>
        <w:ind w:left="500"/>
        <w:jc w:val="both"/>
      </w:pPr>
      <w:r>
        <w:rPr>
          <w:rFonts w:ascii="Calibri" w:cs="Calibri" w:eastAsia="Calibri" w:hAnsi="Calibri"/>
          <w:color w:val="111827"/>
          <w:sz w:val="20"/>
          <w:szCs w:val="20"/>
        </w:rPr>
        <w:t xml:space="preserve">▸  Estado del SAGRILAFT: actualizaciones realizadas, capacitaciones ejecutadas.</w:t>
      </w:r>
    </w:p>
    <w:p>
      <w:pPr>
        <w:spacing w:after="65" w:before="65"/>
        <w:ind w:left="500"/>
        <w:jc w:val="both"/>
      </w:pPr>
      <w:r>
        <w:rPr>
          <w:rFonts w:ascii="Calibri" w:cs="Calibri" w:eastAsia="Calibri" w:hAnsi="Calibri"/>
          <w:color w:val="111827"/>
          <w:sz w:val="20"/>
          <w:szCs w:val="20"/>
        </w:rPr>
        <w:t xml:space="preserve">▸  Información del Oficial de Cumplimiento.</w:t>
      </w:r>
    </w:p>
    <w:p>
      <w:pPr>
        <w:spacing w:after="65" w:before="65"/>
        <w:ind w:left="500"/>
        <w:jc w:val="both"/>
      </w:pPr>
      <w:r>
        <w:rPr>
          <w:rFonts w:ascii="Calibri" w:cs="Calibri" w:eastAsia="Calibri" w:hAnsi="Calibri"/>
          <w:color w:val="111827"/>
          <w:sz w:val="20"/>
          <w:szCs w:val="20"/>
        </w:rPr>
        <w:t xml:space="preserve">▸  Resumen de la Matriz de Riesgo y su calificación.</w:t>
      </w:r>
    </w:p>
    <w:p>
      <w:pPr>
        <w:spacing w:after="100" w:before="100"/>
        <w:ind w:left="400"/>
        <w:jc w:val="both"/>
      </w:pPr>
      <w:r>
        <w:rPr>
          <w:rFonts w:ascii="Calibri" w:cs="Calibri" w:eastAsia="Calibri" w:hAnsi="Calibri"/>
          <w:i/>
          <w:iCs/>
          <w:color w:val="B45309"/>
          <w:sz w:val="19"/>
          <w:szCs w:val="19"/>
        </w:rPr>
        <w:t xml:space="preserve">⚠  El incumplimiento en la presentación oportuna del Informe 75, junto con la falta de actualización del Oficial de Cumplimiento en el SIREL, son las principales causas de sanciones de la Supersociedades contra las empresas obligadas.</w:t>
      </w:r>
    </w:p>
    <w:p>
      <w:pPr>
        <w:pBdr>
          <w:bottom w:val="thick" w:color="122EEF" w:sz="10"/>
        </w:pBdr>
        <w:spacing w:after="260" w:before="600"/>
      </w:pPr>
      <w:r>
        <w:rPr>
          <w:rFonts w:ascii="Calibri" w:cs="Calibri" w:eastAsia="Calibri" w:hAnsi="Calibri"/>
          <w:b/>
          <w:bCs/>
          <w:color w:val="122EEF"/>
          <w:sz w:val="38"/>
          <w:szCs w:val="38"/>
        </w:rPr>
        <w:t xml:space="preserve">9. CAPACITACIÓN Y CULTURA DE CUMPLIMIENTO</w:t>
      </w:r>
    </w:p>
    <w:p>
      <w:pPr>
        <w:spacing w:after="80" w:before="8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W w:type="dxa" w:w="2000"/>
            <w:shd w:fill="122EEF" w:color="auto" w:val="clear"/>
          </w:tcPr>
          <w:p>
            <w:pPr>
              <w:jc w:val="center"/>
            </w:pPr>
            <w:r>
              <w:rPr>
                <w:rFonts w:ascii="Calibri" w:cs="Calibri" w:eastAsia="Calibri" w:hAnsi="Calibri"/>
                <w:b/>
                <w:bCs/>
                <w:color w:val="FFFFFF"/>
                <w:sz w:val="19"/>
                <w:szCs w:val="19"/>
              </w:rPr>
              <w:t xml:space="preserve">Actividad</w:t>
            </w:r>
          </w:p>
        </w:tc>
        <w:tc>
          <w:tcPr>
            <w:tcW w:type="dxa" w:w="1400"/>
            <w:shd w:fill="122EEF" w:color="auto" w:val="clear"/>
          </w:tcPr>
          <w:p>
            <w:pPr>
              <w:jc w:val="center"/>
            </w:pPr>
            <w:r>
              <w:rPr>
                <w:rFonts w:ascii="Calibri" w:cs="Calibri" w:eastAsia="Calibri" w:hAnsi="Calibri"/>
                <w:b/>
                <w:bCs/>
                <w:color w:val="FFFFFF"/>
                <w:sz w:val="19"/>
                <w:szCs w:val="19"/>
              </w:rPr>
              <w:t xml:space="preserve">Frecuencia</w:t>
            </w:r>
          </w:p>
        </w:tc>
        <w:tc>
          <w:tcPr>
            <w:tcW w:type="dxa" w:w="1900"/>
            <w:shd w:fill="122EEF" w:color="auto" w:val="clear"/>
          </w:tcPr>
          <w:p>
            <w:pPr>
              <w:jc w:val="center"/>
            </w:pPr>
            <w:r>
              <w:rPr>
                <w:rFonts w:ascii="Calibri" w:cs="Calibri" w:eastAsia="Calibri" w:hAnsi="Calibri"/>
                <w:b/>
                <w:bCs/>
                <w:color w:val="FFFFFF"/>
                <w:sz w:val="19"/>
                <w:szCs w:val="19"/>
              </w:rPr>
              <w:t xml:space="preserve">Dirigido a</w:t>
            </w:r>
          </w:p>
        </w:tc>
        <w:tc>
          <w:tcPr>
            <w:tcW w:type="dxa" w:w="3700"/>
            <w:shd w:fill="122EEF" w:color="auto" w:val="clear"/>
          </w:tcPr>
          <w:p>
            <w:pPr>
              <w:jc w:val="center"/>
            </w:pPr>
            <w:r>
              <w:rPr>
                <w:rFonts w:ascii="Calibri" w:cs="Calibri" w:eastAsia="Calibri" w:hAnsi="Calibri"/>
                <w:b/>
                <w:bCs/>
                <w:color w:val="FFFFFF"/>
                <w:sz w:val="19"/>
                <w:szCs w:val="19"/>
              </w:rPr>
              <w:t xml:space="preserve">Contenido mínimo</w:t>
            </w:r>
          </w:p>
        </w:tc>
      </w:tr>
      <w:tr>
        <w:tc>
          <w:tcPr>
            <w:tcW w:type="dxa" w:w="2000"/>
            <w:shd w:fill="F9FAFB" w:color="auto" w:val="clear"/>
          </w:tcPr>
          <w:p>
            <w:pPr>
              <w:jc w:val="both"/>
            </w:pPr>
            <w:r>
              <w:rPr>
                <w:rFonts w:ascii="Calibri" w:cs="Calibri" w:eastAsia="Calibri" w:hAnsi="Calibri"/>
                <w:color w:val="111827"/>
                <w:sz w:val="18"/>
                <w:szCs w:val="18"/>
              </w:rPr>
              <w:t xml:space="preserve">Inducción LA/FT/FPADM</w:t>
            </w:r>
          </w:p>
        </w:tc>
        <w:tc>
          <w:tcPr>
            <w:tcW w:type="dxa" w:w="1400"/>
            <w:shd w:fill="F9FAFB" w:color="auto" w:val="clear"/>
          </w:tcPr>
          <w:p>
            <w:pPr>
              <w:jc w:val="both"/>
            </w:pPr>
            <w:r>
              <w:rPr>
                <w:rFonts w:ascii="Calibri" w:cs="Calibri" w:eastAsia="Calibri" w:hAnsi="Calibri"/>
                <w:color w:val="111827"/>
                <w:sz w:val="18"/>
                <w:szCs w:val="18"/>
              </w:rPr>
              <w:t xml:space="preserve">Al ingresar</w:t>
            </w:r>
          </w:p>
        </w:tc>
        <w:tc>
          <w:tcPr>
            <w:tcW w:type="dxa" w:w="1900"/>
            <w:shd w:fill="F9FAFB" w:color="auto" w:val="clear"/>
          </w:tcPr>
          <w:p>
            <w:pPr>
              <w:jc w:val="both"/>
            </w:pPr>
            <w:r>
              <w:rPr>
                <w:rFonts w:ascii="Calibri" w:cs="Calibri" w:eastAsia="Calibri" w:hAnsi="Calibri"/>
                <w:color w:val="111827"/>
                <w:sz w:val="18"/>
                <w:szCs w:val="18"/>
              </w:rPr>
              <w:t xml:space="preserve">Todos los colaboradores nuevos</w:t>
            </w:r>
          </w:p>
        </w:tc>
        <w:tc>
          <w:tcPr>
            <w:tcW w:type="dxa" w:w="3700"/>
            <w:shd w:fill="F9FAFB" w:color="auto" w:val="clear"/>
          </w:tcPr>
          <w:p>
            <w:pPr>
              <w:jc w:val="both"/>
            </w:pPr>
            <w:r>
              <w:rPr>
                <w:rFonts w:ascii="Calibri" w:cs="Calibri" w:eastAsia="Calibri" w:hAnsi="Calibri"/>
                <w:color w:val="111827"/>
                <w:sz w:val="18"/>
                <w:szCs w:val="18"/>
              </w:rPr>
              <w:t xml:space="preserve">Qué es LA/FT/FPADM; obligaciones legales; señales de alerta propias de VIP PASS; cómo reportar al Oficial de Cumplimiento; consecuencias legales.</w:t>
            </w:r>
          </w:p>
        </w:tc>
      </w:tr>
      <w:tr>
        <w:tc>
          <w:tcPr>
            <w:tcW w:type="dxa" w:w="2000"/>
            <w:shd w:fill="FFFFFF" w:color="auto" w:val="clear"/>
          </w:tcPr>
          <w:p>
            <w:pPr>
              <w:jc w:val="both"/>
            </w:pPr>
            <w:r>
              <w:rPr>
                <w:rFonts w:ascii="Calibri" w:cs="Calibri" w:eastAsia="Calibri" w:hAnsi="Calibri"/>
                <w:color w:val="111827"/>
                <w:sz w:val="18"/>
                <w:szCs w:val="18"/>
              </w:rPr>
              <w:t xml:space="preserve">Capacitación anual de actualización</w:t>
            </w:r>
          </w:p>
        </w:tc>
        <w:tc>
          <w:tcPr>
            <w:tcW w:type="dxa" w:w="1400"/>
            <w:shd w:fill="FFFFFF" w:color="auto" w:val="clear"/>
          </w:tcPr>
          <w:p>
            <w:pPr>
              <w:jc w:val="both"/>
            </w:pPr>
            <w:r>
              <w:rPr>
                <w:rFonts w:ascii="Calibri" w:cs="Calibri" w:eastAsia="Calibri" w:hAnsi="Calibri"/>
                <w:color w:val="111827"/>
                <w:sz w:val="18"/>
                <w:szCs w:val="18"/>
              </w:rPr>
              <w:t xml:space="preserve">Anual</w:t>
            </w:r>
          </w:p>
        </w:tc>
        <w:tc>
          <w:tcPr>
            <w:tcW w:type="dxa" w:w="1900"/>
            <w:shd w:fill="FFFFFF" w:color="auto" w:val="clear"/>
          </w:tcPr>
          <w:p>
            <w:pPr>
              <w:jc w:val="both"/>
            </w:pPr>
            <w:r>
              <w:rPr>
                <w:rFonts w:ascii="Calibri" w:cs="Calibri" w:eastAsia="Calibri" w:hAnsi="Calibri"/>
                <w:color w:val="111827"/>
                <w:sz w:val="18"/>
                <w:szCs w:val="18"/>
              </w:rPr>
              <w:t xml:space="preserve">Todos los colaboradores</w:t>
            </w:r>
          </w:p>
        </w:tc>
        <w:tc>
          <w:tcPr>
            <w:tcW w:type="dxa" w:w="3700"/>
            <w:shd w:fill="FFFFFF" w:color="auto" w:val="clear"/>
          </w:tcPr>
          <w:p>
            <w:pPr>
              <w:jc w:val="both"/>
            </w:pPr>
            <w:r>
              <w:rPr>
                <w:rFonts w:ascii="Calibri" w:cs="Calibri" w:eastAsia="Calibri" w:hAnsi="Calibri"/>
                <w:color w:val="111827"/>
                <w:sz w:val="18"/>
                <w:szCs w:val="18"/>
              </w:rPr>
              <w:t xml:space="preserve">Novedades normativas; cambios en la Matriz de Riesgo; lecciones aprendidas de casos del sector; nuevas señales de alerta.</w:t>
            </w:r>
          </w:p>
        </w:tc>
      </w:tr>
      <w:tr>
        <w:tc>
          <w:tcPr>
            <w:tcW w:type="dxa" w:w="2000"/>
            <w:shd w:fill="F9FAFB" w:color="auto" w:val="clear"/>
          </w:tcPr>
          <w:p>
            <w:pPr>
              <w:jc w:val="both"/>
            </w:pPr>
            <w:r>
              <w:rPr>
                <w:rFonts w:ascii="Calibri" w:cs="Calibri" w:eastAsia="Calibri" w:hAnsi="Calibri"/>
                <w:color w:val="111827"/>
                <w:sz w:val="18"/>
                <w:szCs w:val="18"/>
              </w:rPr>
              <w:t xml:space="preserve">Capacitación especializada Oficial de Cumplimiento</w:t>
            </w:r>
          </w:p>
        </w:tc>
        <w:tc>
          <w:tcPr>
            <w:tcW w:type="dxa" w:w="1400"/>
            <w:shd w:fill="F9FAFB" w:color="auto" w:val="clear"/>
          </w:tcPr>
          <w:p>
            <w:pPr>
              <w:jc w:val="both"/>
            </w:pPr>
            <w:r>
              <w:rPr>
                <w:rFonts w:ascii="Calibri" w:cs="Calibri" w:eastAsia="Calibri" w:hAnsi="Calibri"/>
                <w:color w:val="111827"/>
                <w:sz w:val="18"/>
                <w:szCs w:val="18"/>
              </w:rPr>
              <w:t xml:space="preserve">Mínimo anual</w:t>
            </w:r>
          </w:p>
        </w:tc>
        <w:tc>
          <w:tcPr>
            <w:tcW w:type="dxa" w:w="1900"/>
            <w:shd w:fill="F9FAFB" w:color="auto" w:val="clear"/>
          </w:tcPr>
          <w:p>
            <w:pPr>
              <w:jc w:val="both"/>
            </w:pPr>
            <w:r>
              <w:rPr>
                <w:rFonts w:ascii="Calibri" w:cs="Calibri" w:eastAsia="Calibri" w:hAnsi="Calibri"/>
                <w:color w:val="111827"/>
                <w:sz w:val="18"/>
                <w:szCs w:val="18"/>
              </w:rPr>
              <w:t xml:space="preserve">Oficial de Cumplimiento</w:t>
            </w:r>
          </w:p>
        </w:tc>
        <w:tc>
          <w:tcPr>
            <w:tcW w:type="dxa" w:w="3700"/>
            <w:shd w:fill="F9FAFB" w:color="auto" w:val="clear"/>
          </w:tcPr>
          <w:p>
            <w:pPr>
              <w:jc w:val="both"/>
            </w:pPr>
            <w:r>
              <w:rPr>
                <w:rFonts w:ascii="Calibri" w:cs="Calibri" w:eastAsia="Calibri" w:hAnsi="Calibri"/>
                <w:color w:val="111827"/>
                <w:sz w:val="18"/>
                <w:szCs w:val="18"/>
              </w:rPr>
              <w:t xml:space="preserve">Actualización GAFI; nuevos tipologías LA/FT; manejo del SIREL; jurisprudencia y sanciones recientes.</w:t>
            </w:r>
          </w:p>
        </w:tc>
      </w:tr>
      <w:tr>
        <w:tc>
          <w:tcPr>
            <w:tcW w:type="dxa" w:w="2000"/>
            <w:shd w:fill="FFFFFF" w:color="auto" w:val="clear"/>
          </w:tcPr>
          <w:p>
            <w:pPr>
              <w:jc w:val="both"/>
            </w:pPr>
            <w:r>
              <w:rPr>
                <w:rFonts w:ascii="Calibri" w:cs="Calibri" w:eastAsia="Calibri" w:hAnsi="Calibri"/>
                <w:color w:val="111827"/>
                <w:sz w:val="18"/>
                <w:szCs w:val="18"/>
              </w:rPr>
              <w:t xml:space="preserve">Taller debida diligencia</w:t>
            </w:r>
          </w:p>
        </w:tc>
        <w:tc>
          <w:tcPr>
            <w:tcW w:type="dxa" w:w="1400"/>
            <w:shd w:fill="FFFFFF" w:color="auto" w:val="clear"/>
          </w:tcPr>
          <w:p>
            <w:pPr>
              <w:jc w:val="both"/>
            </w:pPr>
            <w:r>
              <w:rPr>
                <w:rFonts w:ascii="Calibri" w:cs="Calibri" w:eastAsia="Calibri" w:hAnsi="Calibri"/>
                <w:color w:val="111827"/>
                <w:sz w:val="18"/>
                <w:szCs w:val="18"/>
              </w:rPr>
              <w:t xml:space="preserve">Semestral</w:t>
            </w:r>
          </w:p>
        </w:tc>
        <w:tc>
          <w:tcPr>
            <w:tcW w:type="dxa" w:w="1900"/>
            <w:shd w:fill="FFFFFF" w:color="auto" w:val="clear"/>
          </w:tcPr>
          <w:p>
            <w:pPr>
              <w:jc w:val="both"/>
            </w:pPr>
            <w:r>
              <w:rPr>
                <w:rFonts w:ascii="Calibri" w:cs="Calibri" w:eastAsia="Calibri" w:hAnsi="Calibri"/>
                <w:color w:val="111827"/>
                <w:sz w:val="18"/>
                <w:szCs w:val="18"/>
              </w:rPr>
              <w:t xml:space="preserve">Área comercial, servicio al cliente, TI</w:t>
            </w:r>
          </w:p>
        </w:tc>
        <w:tc>
          <w:tcPr>
            <w:tcW w:type="dxa" w:w="3700"/>
            <w:shd w:fill="FFFFFF" w:color="auto" w:val="clear"/>
          </w:tcPr>
          <w:p>
            <w:pPr>
              <w:jc w:val="both"/>
            </w:pPr>
            <w:r>
              <w:rPr>
                <w:rFonts w:ascii="Calibri" w:cs="Calibri" w:eastAsia="Calibri" w:hAnsi="Calibri"/>
                <w:color w:val="111827"/>
                <w:sz w:val="18"/>
                <w:szCs w:val="18"/>
              </w:rPr>
              <w:t xml:space="preserve">Procedimientos de consulta de listas; identificación de señales de alerta en transacciones; manejo de PEP y DDI.</w:t>
            </w:r>
          </w:p>
        </w:tc>
      </w:tr>
      <w:tr>
        <w:tc>
          <w:tcPr>
            <w:tcW w:type="dxa" w:w="2000"/>
            <w:shd w:fill="F9FAFB" w:color="auto" w:val="clear"/>
          </w:tcPr>
          <w:p>
            <w:pPr>
              <w:jc w:val="both"/>
            </w:pPr>
            <w:r>
              <w:rPr>
                <w:rFonts w:ascii="Calibri" w:cs="Calibri" w:eastAsia="Calibri" w:hAnsi="Calibri"/>
                <w:color w:val="111827"/>
                <w:sz w:val="18"/>
                <w:szCs w:val="18"/>
              </w:rPr>
              <w:t xml:space="preserve">Simulacro de operación sospechosa</w:t>
            </w:r>
          </w:p>
        </w:tc>
        <w:tc>
          <w:tcPr>
            <w:tcW w:type="dxa" w:w="1400"/>
            <w:shd w:fill="F9FAFB" w:color="auto" w:val="clear"/>
          </w:tcPr>
          <w:p>
            <w:pPr>
              <w:jc w:val="both"/>
            </w:pPr>
            <w:r>
              <w:rPr>
                <w:rFonts w:ascii="Calibri" w:cs="Calibri" w:eastAsia="Calibri" w:hAnsi="Calibri"/>
                <w:color w:val="111827"/>
                <w:sz w:val="18"/>
                <w:szCs w:val="18"/>
              </w:rPr>
              <w:t xml:space="preserve">Anual</w:t>
            </w:r>
          </w:p>
        </w:tc>
        <w:tc>
          <w:tcPr>
            <w:tcW w:type="dxa" w:w="1900"/>
            <w:shd w:fill="F9FAFB" w:color="auto" w:val="clear"/>
          </w:tcPr>
          <w:p>
            <w:pPr>
              <w:jc w:val="both"/>
            </w:pPr>
            <w:r>
              <w:rPr>
                <w:rFonts w:ascii="Calibri" w:cs="Calibri" w:eastAsia="Calibri" w:hAnsi="Calibri"/>
                <w:color w:val="111827"/>
                <w:sz w:val="18"/>
                <w:szCs w:val="18"/>
              </w:rPr>
              <w:t xml:space="preserve">Todos los colaboradores</w:t>
            </w:r>
          </w:p>
        </w:tc>
        <w:tc>
          <w:tcPr>
            <w:tcW w:type="dxa" w:w="3700"/>
            <w:shd w:fill="F9FAFB" w:color="auto" w:val="clear"/>
          </w:tcPr>
          <w:p>
            <w:pPr>
              <w:jc w:val="both"/>
            </w:pPr>
            <w:r>
              <w:rPr>
                <w:rFonts w:ascii="Calibri" w:cs="Calibri" w:eastAsia="Calibri" w:hAnsi="Calibri"/>
                <w:color w:val="111827"/>
                <w:sz w:val="18"/>
                <w:szCs w:val="18"/>
              </w:rPr>
              <w:t xml:space="preserve">Ejercicio práctico de identificación y reporte de una señal de alerta ficticia; evaluación de la respuesta.</w:t>
            </w:r>
          </w:p>
        </w:tc>
      </w:tr>
    </w:tbl>
    <w:p>
      <w:pPr>
        <w:spacing w:after="80" w:before="80"/>
      </w:pPr>
    </w:p>
    <w:p>
      <w:pPr>
        <w:spacing w:after="80" w:before="80"/>
        <w:ind w:left="360"/>
        <w:jc w:val="both"/>
      </w:pPr>
      <w:r>
        <w:rPr>
          <w:rFonts w:ascii="Calibri" w:cs="Calibri" w:eastAsia="Calibri" w:hAnsi="Calibri"/>
          <w:i/>
          <w:iCs/>
          <w:color w:val="6B7280"/>
          <w:sz w:val="18"/>
          <w:szCs w:val="18"/>
        </w:rPr>
        <w:t xml:space="preserve">ℹ  Los registros de asistencia y evaluación de todas las capacitaciones deben conservarse como evidencia ante posibles requerimientos de la Supersociedades o la UIAF.</w:t>
      </w:r>
    </w:p>
    <w:p>
      <w:pPr>
        <w:pBdr>
          <w:bottom w:val="thick" w:color="122EEF" w:sz="10"/>
        </w:pBdr>
        <w:spacing w:after="260" w:before="600"/>
      </w:pPr>
      <w:r>
        <w:rPr>
          <w:rFonts w:ascii="Calibri" w:cs="Calibri" w:eastAsia="Calibri" w:hAnsi="Calibri"/>
          <w:b/>
          <w:bCs/>
          <w:color w:val="122EEF"/>
          <w:sz w:val="38"/>
          <w:szCs w:val="38"/>
        </w:rPr>
        <w:t xml:space="preserve">10. RÉGIMEN SANCIONATORIO</w:t>
      </w:r>
    </w:p>
    <w:p>
      <w:pPr>
        <w:pBdr>
          <w:bottom w:val="single" w:color="122EEF" w:sz="6"/>
        </w:pBdr>
        <w:spacing w:after="180" w:before="400"/>
      </w:pPr>
      <w:r>
        <w:rPr>
          <w:rFonts w:ascii="Calibri" w:cs="Calibri" w:eastAsia="Calibri" w:hAnsi="Calibri"/>
          <w:b/>
          <w:bCs/>
          <w:color w:val="111827"/>
          <w:sz w:val="28"/>
          <w:szCs w:val="28"/>
        </w:rPr>
        <w:t xml:space="preserve">10.1 Sanciones para VIP PASS (persona jurídica)</w:t>
      </w:r>
    </w:p>
    <w:p>
      <w:pPr>
        <w:spacing w:after="80" w:before="80"/>
        <w:jc w:val="both"/>
      </w:pPr>
      <w:r>
        <w:rPr>
          <w:rFonts w:ascii="Calibri" w:cs="Calibri" w:eastAsia="Calibri" w:hAnsi="Calibri"/>
          <w:color w:val="111827"/>
          <w:sz w:val="20"/>
          <w:szCs w:val="20"/>
        </w:rPr>
        <w:t xml:space="preserve">El incumplimiento de las obligaciones del SAGRILAFT puede acarrear las siguientes consecuencias:</w:t>
      </w:r>
    </w:p>
    <w:p>
      <w:pPr>
        <w:spacing w:after="65" w:before="65"/>
        <w:ind w:left="500"/>
        <w:jc w:val="both"/>
      </w:pPr>
      <w:r>
        <w:rPr>
          <w:rFonts w:ascii="Calibri" w:cs="Calibri" w:eastAsia="Calibri" w:hAnsi="Calibri"/>
          <w:color w:val="111827"/>
          <w:sz w:val="20"/>
          <w:szCs w:val="20"/>
        </w:rPr>
        <w:t xml:space="preserve">▸  Multas de la Superintendencia de Sociedades: hasta doscientos (200) SMMLV por incumplimientos del SAGRILAFT (Capítulo X, Circular 100-000016/2020).</w:t>
      </w:r>
    </w:p>
    <w:p>
      <w:pPr>
        <w:spacing w:after="65" w:before="65"/>
        <w:ind w:left="500"/>
        <w:jc w:val="both"/>
      </w:pPr>
      <w:r>
        <w:rPr>
          <w:rFonts w:ascii="Calibri" w:cs="Calibri" w:eastAsia="Calibri" w:hAnsi="Calibri"/>
          <w:color w:val="111827"/>
          <w:sz w:val="20"/>
          <w:szCs w:val="20"/>
        </w:rPr>
        <w:t xml:space="preserve">▸  Multas de la UIAF: por falta de reporte oportuno de operaciones sospechosas o incumplimiento de la obligación de AROS.</w:t>
      </w:r>
    </w:p>
    <w:p>
      <w:pPr>
        <w:spacing w:after="65" w:before="65"/>
        <w:ind w:left="500"/>
        <w:jc w:val="both"/>
      </w:pPr>
      <w:r>
        <w:rPr>
          <w:rFonts w:ascii="Calibri" w:cs="Calibri" w:eastAsia="Calibri" w:hAnsi="Calibri"/>
          <w:color w:val="111827"/>
          <w:sz w:val="20"/>
          <w:szCs w:val="20"/>
        </w:rPr>
        <w:t xml:space="preserve">▸  Responsabilidad penal de la empresa por lavado de activos (Art. 323 C.P.) y financiación del terrorismo (Ley 1121/2006): multas de hasta 1.000.000 SMMLV.</w:t>
      </w:r>
    </w:p>
    <w:p>
      <w:pPr>
        <w:spacing w:after="65" w:before="65"/>
        <w:ind w:left="500"/>
        <w:jc w:val="both"/>
      </w:pPr>
      <w:r>
        <w:rPr>
          <w:rFonts w:ascii="Calibri" w:cs="Calibri" w:eastAsia="Calibri" w:hAnsi="Calibri"/>
          <w:color w:val="111827"/>
          <w:sz w:val="20"/>
          <w:szCs w:val="20"/>
        </w:rPr>
        <w:t xml:space="preserve">▸  Inhabilidades para contratar con el Estado.</w:t>
      </w:r>
    </w:p>
    <w:p>
      <w:pPr>
        <w:spacing w:after="65" w:before="65"/>
        <w:ind w:left="500"/>
        <w:jc w:val="both"/>
      </w:pPr>
      <w:r>
        <w:rPr>
          <w:rFonts w:ascii="Calibri" w:cs="Calibri" w:eastAsia="Calibri" w:hAnsi="Calibri"/>
          <w:color w:val="111827"/>
          <w:sz w:val="20"/>
          <w:szCs w:val="20"/>
        </w:rPr>
        <w:t xml:space="preserve">▸  Daño reputacional y posible inclusión en listas de alertas de la UIAF.</w:t>
      </w:r>
    </w:p>
    <w:p>
      <w:pPr>
        <w:pBdr>
          <w:bottom w:val="single" w:color="122EEF" w:sz="6"/>
        </w:pBdr>
        <w:spacing w:after="180" w:before="400"/>
      </w:pPr>
      <w:r>
        <w:rPr>
          <w:rFonts w:ascii="Calibri" w:cs="Calibri" w:eastAsia="Calibri" w:hAnsi="Calibri"/>
          <w:b/>
          <w:bCs/>
          <w:color w:val="111827"/>
          <w:sz w:val="28"/>
          <w:szCs w:val="28"/>
        </w:rPr>
        <w:t xml:space="preserve">10.2 Sanciones para representantes legales, directivos y colaboradores (persona natural)</w:t>
      </w:r>
    </w:p>
    <w:p>
      <w:pPr>
        <w:spacing w:after="65" w:before="65"/>
        <w:ind w:left="500"/>
        <w:jc w:val="both"/>
      </w:pPr>
      <w:r>
        <w:rPr>
          <w:rFonts w:ascii="Calibri" w:cs="Calibri" w:eastAsia="Calibri" w:hAnsi="Calibri"/>
          <w:color w:val="111827"/>
          <w:sz w:val="20"/>
          <w:szCs w:val="20"/>
        </w:rPr>
        <w:t xml:space="preserve">▸  Responsabilidad penal individual por lavado de activos (Art. 323 Código Penal): prisión de 10 a 30 años y multa de 650 a 50.000 SMMLV.</w:t>
      </w:r>
    </w:p>
    <w:p>
      <w:pPr>
        <w:spacing w:after="65" w:before="65"/>
        <w:ind w:left="500"/>
        <w:jc w:val="both"/>
      </w:pPr>
      <w:r>
        <w:rPr>
          <w:rFonts w:ascii="Calibri" w:cs="Calibri" w:eastAsia="Calibri" w:hAnsi="Calibri"/>
          <w:color w:val="111827"/>
          <w:sz w:val="20"/>
          <w:szCs w:val="20"/>
        </w:rPr>
        <w:t xml:space="preserve">▸  Responsabilidad penal por financiación del terrorismo (Ley 1121/2006): prisión hasta 40 años.</w:t>
      </w:r>
    </w:p>
    <w:p>
      <w:pPr>
        <w:spacing w:after="65" w:before="65"/>
        <w:ind w:left="500"/>
        <w:jc w:val="both"/>
      </w:pPr>
      <w:r>
        <w:rPr>
          <w:rFonts w:ascii="Calibri" w:cs="Calibri" w:eastAsia="Calibri" w:hAnsi="Calibri"/>
          <w:color w:val="111827"/>
          <w:sz w:val="20"/>
          <w:szCs w:val="20"/>
        </w:rPr>
        <w:t xml:space="preserve">▸  Sanciones disciplinarias internas conforme al Reglamento Interno de Trabajo.</w:t>
      </w:r>
    </w:p>
    <w:p>
      <w:pPr>
        <w:spacing w:after="65" w:before="65"/>
        <w:ind w:left="500"/>
        <w:jc w:val="both"/>
      </w:pPr>
      <w:r>
        <w:rPr>
          <w:rFonts w:ascii="Calibri" w:cs="Calibri" w:eastAsia="Calibri" w:hAnsi="Calibri"/>
          <w:color w:val="111827"/>
          <w:sz w:val="20"/>
          <w:szCs w:val="20"/>
        </w:rPr>
        <w:t xml:space="preserve">▸  Inhabilidades para el ejercicio de cargos públicos o privados.</w:t>
      </w:r>
    </w:p>
    <w:p>
      <w:pPr>
        <w:pBdr>
          <w:bottom w:val="single" w:color="122EEF" w:sz="6"/>
        </w:pBdr>
        <w:spacing w:after="180" w:before="400"/>
      </w:pPr>
      <w:r>
        <w:rPr>
          <w:rFonts w:ascii="Calibri" w:cs="Calibri" w:eastAsia="Calibri" w:hAnsi="Calibri"/>
          <w:b/>
          <w:bCs/>
          <w:color w:val="111827"/>
          <w:sz w:val="28"/>
          <w:szCs w:val="28"/>
        </w:rPr>
        <w:t xml:space="preserve">10.3 Régimen interno de VIP PASS</w:t>
      </w:r>
    </w:p>
    <w:p>
      <w:pPr>
        <w:spacing w:after="80" w:before="80"/>
        <w:jc w:val="both"/>
      </w:pPr>
      <w:r>
        <w:rPr>
          <w:rFonts w:ascii="Calibri" w:cs="Calibri" w:eastAsia="Calibri" w:hAnsi="Calibri"/>
          <w:color w:val="111827"/>
          <w:sz w:val="20"/>
          <w:szCs w:val="20"/>
        </w:rPr>
        <w:t xml:space="preserve">Los colaboradores, contratistas y directivos de VIP PASS que incumplan las disposiciones de este Manual estarán sujetos a:</w:t>
      </w:r>
    </w:p>
    <w:p>
      <w:pPr>
        <w:spacing w:after="65" w:before="65"/>
        <w:ind w:left="500"/>
        <w:jc w:val="both"/>
      </w:pPr>
      <w:r>
        <w:rPr>
          <w:rFonts w:ascii="Calibri" w:cs="Calibri" w:eastAsia="Calibri" w:hAnsi="Calibri"/>
          <w:color w:val="111827"/>
          <w:sz w:val="20"/>
          <w:szCs w:val="20"/>
        </w:rPr>
        <w:t xml:space="preserve">▸  Llamado de atención escrito para infracciones leves.</w:t>
      </w:r>
    </w:p>
    <w:p>
      <w:pPr>
        <w:spacing w:after="65" w:before="65"/>
        <w:ind w:left="500"/>
        <w:jc w:val="both"/>
      </w:pPr>
      <w:r>
        <w:rPr>
          <w:rFonts w:ascii="Calibri" w:cs="Calibri" w:eastAsia="Calibri" w:hAnsi="Calibri"/>
          <w:color w:val="111827"/>
          <w:sz w:val="20"/>
          <w:szCs w:val="20"/>
        </w:rPr>
        <w:t xml:space="preserve">▸  Suspensión del contrato para infracciones graves.</w:t>
      </w:r>
    </w:p>
    <w:p>
      <w:pPr>
        <w:spacing w:after="65" w:before="65"/>
        <w:ind w:left="500"/>
        <w:jc w:val="both"/>
      </w:pPr>
      <w:r>
        <w:rPr>
          <w:rFonts w:ascii="Calibri" w:cs="Calibri" w:eastAsia="Calibri" w:hAnsi="Calibri"/>
          <w:color w:val="111827"/>
          <w:sz w:val="20"/>
          <w:szCs w:val="20"/>
        </w:rPr>
        <w:t xml:space="preserve">▸  Terminación del contrato con justa causa para infracciones muy graves, sin perjuicio de las acciones penales a que haya lugar.</w:t>
      </w:r>
    </w:p>
    <w:p>
      <w:pPr>
        <w:spacing w:after="65" w:before="65"/>
        <w:ind w:left="500"/>
        <w:jc w:val="both"/>
      </w:pPr>
      <w:r>
        <w:rPr>
          <w:rFonts w:ascii="Calibri" w:cs="Calibri" w:eastAsia="Calibri" w:hAnsi="Calibri"/>
          <w:color w:val="111827"/>
          <w:sz w:val="20"/>
          <w:szCs w:val="20"/>
        </w:rPr>
        <w:t xml:space="preserve">▸  Denuncia penal ante la Fiscalía General de la Nación cuando existan indicios de participación activa en LA/FT/FPADM.</w:t>
      </w:r>
    </w:p>
    <w:p>
      <w:pPr>
        <w:pBdr>
          <w:bottom w:val="thick" w:color="122EEF" w:sz="10"/>
        </w:pBdr>
        <w:spacing w:after="260" w:before="600"/>
      </w:pPr>
      <w:r>
        <w:rPr>
          <w:rFonts w:ascii="Calibri" w:cs="Calibri" w:eastAsia="Calibri" w:hAnsi="Calibri"/>
          <w:b/>
          <w:bCs/>
          <w:color w:val="122EEF"/>
          <w:sz w:val="38"/>
          <w:szCs w:val="38"/>
        </w:rPr>
        <w:t xml:space="preserve">11. CONSERVACIÓN DE DOCUMENTOS Y REGISTROS</w:t>
      </w:r>
    </w:p>
    <w:p>
      <w:pPr>
        <w:spacing w:after="80" w:before="8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dxa" w:w="3200"/>
            <w:shd w:fill="122EEF" w:color="auto" w:val="clear"/>
          </w:tcPr>
          <w:p>
            <w:pPr>
              <w:jc w:val="center"/>
            </w:pPr>
            <w:r>
              <w:rPr>
                <w:rFonts w:ascii="Calibri" w:cs="Calibri" w:eastAsia="Calibri" w:hAnsi="Calibri"/>
                <w:b/>
                <w:bCs/>
                <w:color w:val="FFFFFF"/>
                <w:sz w:val="19"/>
                <w:szCs w:val="19"/>
              </w:rPr>
              <w:t xml:space="preserve">Documento / Registro</w:t>
            </w:r>
          </w:p>
        </w:tc>
        <w:tc>
          <w:tcPr>
            <w:tcW w:type="dxa" w:w="2500"/>
            <w:shd w:fill="122EEF" w:color="auto" w:val="clear"/>
          </w:tcPr>
          <w:p>
            <w:pPr>
              <w:jc w:val="center"/>
            </w:pPr>
            <w:r>
              <w:rPr>
                <w:rFonts w:ascii="Calibri" w:cs="Calibri" w:eastAsia="Calibri" w:hAnsi="Calibri"/>
                <w:b/>
                <w:bCs/>
                <w:color w:val="FFFFFF"/>
                <w:sz w:val="19"/>
                <w:szCs w:val="19"/>
              </w:rPr>
              <w:t xml:space="preserve">Tiempo de conservación</w:t>
            </w:r>
          </w:p>
        </w:tc>
        <w:tc>
          <w:tcPr>
            <w:tcW w:type="dxa" w:w="3300"/>
            <w:shd w:fill="122EEF" w:color="auto" w:val="clear"/>
          </w:tcPr>
          <w:p>
            <w:pPr>
              <w:jc w:val="center"/>
            </w:pPr>
            <w:r>
              <w:rPr>
                <w:rFonts w:ascii="Calibri" w:cs="Calibri" w:eastAsia="Calibri" w:hAnsi="Calibri"/>
                <w:b/>
                <w:bCs/>
                <w:color w:val="FFFFFF"/>
                <w:sz w:val="19"/>
                <w:szCs w:val="19"/>
              </w:rPr>
              <w:t xml:space="preserve">Base legal</w:t>
            </w:r>
          </w:p>
        </w:tc>
      </w:tr>
      <w:tr>
        <w:tc>
          <w:tcPr>
            <w:tcW w:type="dxa" w:w="3200"/>
            <w:shd w:fill="F9FAFB" w:color="auto" w:val="clear"/>
          </w:tcPr>
          <w:p>
            <w:pPr>
              <w:jc w:val="both"/>
            </w:pPr>
            <w:r>
              <w:rPr>
                <w:rFonts w:ascii="Calibri" w:cs="Calibri" w:eastAsia="Calibri" w:hAnsi="Calibri"/>
                <w:color w:val="111827"/>
                <w:sz w:val="18"/>
                <w:szCs w:val="18"/>
              </w:rPr>
              <w:t xml:space="preserve">Expedientes de debida diligencia de contrapartes</w:t>
            </w:r>
          </w:p>
        </w:tc>
        <w:tc>
          <w:tcPr>
            <w:tcW w:type="dxa" w:w="2500"/>
            <w:shd w:fill="F9FAFB" w:color="auto" w:val="clear"/>
          </w:tcPr>
          <w:p>
            <w:pPr>
              <w:jc w:val="both"/>
            </w:pPr>
            <w:r>
              <w:rPr>
                <w:rFonts w:ascii="Calibri" w:cs="Calibri" w:eastAsia="Calibri" w:hAnsi="Calibri"/>
                <w:color w:val="111827"/>
                <w:sz w:val="18"/>
                <w:szCs w:val="18"/>
              </w:rPr>
              <w:t xml:space="preserve">Mínimo 5 años después de cesada la relación comercial</w:t>
            </w:r>
          </w:p>
        </w:tc>
        <w:tc>
          <w:tcPr>
            <w:tcW w:type="dxa" w:w="3300"/>
            <w:shd w:fill="F9FAFB" w:color="auto" w:val="clear"/>
          </w:tcPr>
          <w:p>
            <w:pPr>
              <w:jc w:val="both"/>
            </w:pPr>
            <w:r>
              <w:rPr>
                <w:rFonts w:ascii="Calibri" w:cs="Calibri" w:eastAsia="Calibri" w:hAnsi="Calibri"/>
                <w:color w:val="111827"/>
                <w:sz w:val="18"/>
                <w:szCs w:val="18"/>
              </w:rPr>
              <w:t xml:space="preserve">Circular 100-000016/2020 — Recomendaciones GAFI</w:t>
            </w:r>
          </w:p>
        </w:tc>
      </w:tr>
      <w:tr>
        <w:tc>
          <w:tcPr>
            <w:tcW w:type="dxa" w:w="3200"/>
            <w:shd w:fill="FFFFFF" w:color="auto" w:val="clear"/>
          </w:tcPr>
          <w:p>
            <w:pPr>
              <w:jc w:val="both"/>
            </w:pPr>
            <w:r>
              <w:rPr>
                <w:rFonts w:ascii="Calibri" w:cs="Calibri" w:eastAsia="Calibri" w:hAnsi="Calibri"/>
                <w:color w:val="111827"/>
                <w:sz w:val="18"/>
                <w:szCs w:val="18"/>
              </w:rPr>
              <w:t xml:space="preserve">Registros de consultas en listas restrictivas</w:t>
            </w:r>
          </w:p>
        </w:tc>
        <w:tc>
          <w:tcPr>
            <w:tcW w:type="dxa" w:w="2500"/>
            <w:shd w:fill="FFFFFF" w:color="auto" w:val="clear"/>
          </w:tcPr>
          <w:p>
            <w:pPr>
              <w:jc w:val="both"/>
            </w:pPr>
            <w:r>
              <w:rPr>
                <w:rFonts w:ascii="Calibri" w:cs="Calibri" w:eastAsia="Calibri" w:hAnsi="Calibri"/>
                <w:color w:val="111827"/>
                <w:sz w:val="18"/>
                <w:szCs w:val="18"/>
              </w:rPr>
              <w:t xml:space="preserve">5 años</w:t>
            </w:r>
          </w:p>
        </w:tc>
        <w:tc>
          <w:tcPr>
            <w:tcW w:type="dxa" w:w="3300"/>
            <w:shd w:fill="FFFFFF" w:color="auto" w:val="clear"/>
          </w:tcPr>
          <w:p>
            <w:pPr>
              <w:jc w:val="both"/>
            </w:pPr>
            <w:r>
              <w:rPr>
                <w:rFonts w:ascii="Calibri" w:cs="Calibri" w:eastAsia="Calibri" w:hAnsi="Calibri"/>
                <w:color w:val="111827"/>
                <w:sz w:val="18"/>
                <w:szCs w:val="18"/>
              </w:rPr>
              <w:t xml:space="preserve">Circular 100-000016/2020</w:t>
            </w:r>
          </w:p>
        </w:tc>
      </w:tr>
      <w:tr>
        <w:tc>
          <w:tcPr>
            <w:tcW w:type="dxa" w:w="3200"/>
            <w:shd w:fill="F9FAFB" w:color="auto" w:val="clear"/>
          </w:tcPr>
          <w:p>
            <w:pPr>
              <w:jc w:val="both"/>
            </w:pPr>
            <w:r>
              <w:rPr>
                <w:rFonts w:ascii="Calibri" w:cs="Calibri" w:eastAsia="Calibri" w:hAnsi="Calibri"/>
                <w:color w:val="111827"/>
                <w:sz w:val="18"/>
                <w:szCs w:val="18"/>
              </w:rPr>
              <w:t xml:space="preserve">Registro de operaciones inusuales analizadas</w:t>
            </w:r>
          </w:p>
        </w:tc>
        <w:tc>
          <w:tcPr>
            <w:tcW w:type="dxa" w:w="2500"/>
            <w:shd w:fill="F9FAFB" w:color="auto" w:val="clear"/>
          </w:tcPr>
          <w:p>
            <w:pPr>
              <w:jc w:val="both"/>
            </w:pPr>
            <w:r>
              <w:rPr>
                <w:rFonts w:ascii="Calibri" w:cs="Calibri" w:eastAsia="Calibri" w:hAnsi="Calibri"/>
                <w:color w:val="111827"/>
                <w:sz w:val="18"/>
                <w:szCs w:val="18"/>
              </w:rPr>
              <w:t xml:space="preserve">5 años desde el análisis</w:t>
            </w:r>
          </w:p>
        </w:tc>
        <w:tc>
          <w:tcPr>
            <w:tcW w:type="dxa" w:w="3300"/>
            <w:shd w:fill="F9FAFB" w:color="auto" w:val="clear"/>
          </w:tcPr>
          <w:p>
            <w:pPr>
              <w:jc w:val="both"/>
            </w:pPr>
            <w:r>
              <w:rPr>
                <w:rFonts w:ascii="Calibri" w:cs="Calibri" w:eastAsia="Calibri" w:hAnsi="Calibri"/>
                <w:color w:val="111827"/>
                <w:sz w:val="18"/>
                <w:szCs w:val="18"/>
              </w:rPr>
              <w:t xml:space="preserve">Circular 100-000016/2020</w:t>
            </w:r>
          </w:p>
        </w:tc>
      </w:tr>
      <w:tr>
        <w:tc>
          <w:tcPr>
            <w:tcW w:type="dxa" w:w="3200"/>
            <w:shd w:fill="FFFFFF" w:color="auto" w:val="clear"/>
          </w:tcPr>
          <w:p>
            <w:pPr>
              <w:jc w:val="both"/>
            </w:pPr>
            <w:r>
              <w:rPr>
                <w:rFonts w:ascii="Calibri" w:cs="Calibri" w:eastAsia="Calibri" w:hAnsi="Calibri"/>
                <w:color w:val="111827"/>
                <w:sz w:val="18"/>
                <w:szCs w:val="18"/>
              </w:rPr>
              <w:t xml:space="preserve">Copia de ROS transmitidos a la UIAF</w:t>
            </w:r>
          </w:p>
        </w:tc>
        <w:tc>
          <w:tcPr>
            <w:tcW w:type="dxa" w:w="2500"/>
            <w:shd w:fill="FFFFFF" w:color="auto" w:val="clear"/>
          </w:tcPr>
          <w:p>
            <w:pPr>
              <w:jc w:val="both"/>
            </w:pPr>
            <w:r>
              <w:rPr>
                <w:rFonts w:ascii="Calibri" w:cs="Calibri" w:eastAsia="Calibri" w:hAnsi="Calibri"/>
                <w:color w:val="111827"/>
                <w:sz w:val="18"/>
                <w:szCs w:val="18"/>
              </w:rPr>
              <w:t xml:space="preserve">5 años</w:t>
            </w:r>
          </w:p>
        </w:tc>
        <w:tc>
          <w:tcPr>
            <w:tcW w:type="dxa" w:w="3300"/>
            <w:shd w:fill="FFFFFF" w:color="auto" w:val="clear"/>
          </w:tcPr>
          <w:p>
            <w:pPr>
              <w:jc w:val="both"/>
            </w:pPr>
            <w:r>
              <w:rPr>
                <w:rFonts w:ascii="Calibri" w:cs="Calibri" w:eastAsia="Calibri" w:hAnsi="Calibri"/>
                <w:color w:val="111827"/>
                <w:sz w:val="18"/>
                <w:szCs w:val="18"/>
              </w:rPr>
              <w:t xml:space="preserve">Ley 526/1999 — Circular 100-000016/2020</w:t>
            </w:r>
          </w:p>
        </w:tc>
      </w:tr>
      <w:tr>
        <w:tc>
          <w:tcPr>
            <w:tcW w:type="dxa" w:w="3200"/>
            <w:shd w:fill="F9FAFB" w:color="auto" w:val="clear"/>
          </w:tcPr>
          <w:p>
            <w:pPr>
              <w:jc w:val="both"/>
            </w:pPr>
            <w:r>
              <w:rPr>
                <w:rFonts w:ascii="Calibri" w:cs="Calibri" w:eastAsia="Calibri" w:hAnsi="Calibri"/>
                <w:color w:val="111827"/>
                <w:sz w:val="18"/>
                <w:szCs w:val="18"/>
              </w:rPr>
              <w:t xml:space="preserve">Comprobantes de AROS</w:t>
            </w:r>
          </w:p>
        </w:tc>
        <w:tc>
          <w:tcPr>
            <w:tcW w:type="dxa" w:w="2500"/>
            <w:shd w:fill="F9FAFB" w:color="auto" w:val="clear"/>
          </w:tcPr>
          <w:p>
            <w:pPr>
              <w:jc w:val="both"/>
            </w:pPr>
            <w:r>
              <w:rPr>
                <w:rFonts w:ascii="Calibri" w:cs="Calibri" w:eastAsia="Calibri" w:hAnsi="Calibri"/>
                <w:color w:val="111827"/>
                <w:sz w:val="18"/>
                <w:szCs w:val="18"/>
              </w:rPr>
              <w:t xml:space="preserve">5 años</w:t>
            </w:r>
          </w:p>
        </w:tc>
        <w:tc>
          <w:tcPr>
            <w:tcW w:type="dxa" w:w="3300"/>
            <w:shd w:fill="F9FAFB" w:color="auto" w:val="clear"/>
          </w:tcPr>
          <w:p>
            <w:pPr>
              <w:jc w:val="both"/>
            </w:pPr>
            <w:r>
              <w:rPr>
                <w:rFonts w:ascii="Calibri" w:cs="Calibri" w:eastAsia="Calibri" w:hAnsi="Calibri"/>
                <w:color w:val="111827"/>
                <w:sz w:val="18"/>
                <w:szCs w:val="18"/>
              </w:rPr>
              <w:t xml:space="preserve">Circular 100-000016/2020</w:t>
            </w:r>
          </w:p>
        </w:tc>
      </w:tr>
      <w:tr>
        <w:tc>
          <w:tcPr>
            <w:tcW w:type="dxa" w:w="3200"/>
            <w:shd w:fill="FFFFFF" w:color="auto" w:val="clear"/>
          </w:tcPr>
          <w:p>
            <w:pPr>
              <w:jc w:val="both"/>
            </w:pPr>
            <w:r>
              <w:rPr>
                <w:rFonts w:ascii="Calibri" w:cs="Calibri" w:eastAsia="Calibri" w:hAnsi="Calibri"/>
                <w:color w:val="111827"/>
                <w:sz w:val="18"/>
                <w:szCs w:val="18"/>
              </w:rPr>
              <w:t xml:space="preserve">Informes 75 presentados a Supersociedades</w:t>
            </w:r>
          </w:p>
        </w:tc>
        <w:tc>
          <w:tcPr>
            <w:tcW w:type="dxa" w:w="2500"/>
            <w:shd w:fill="FFFFFF" w:color="auto" w:val="clear"/>
          </w:tcPr>
          <w:p>
            <w:pPr>
              <w:jc w:val="both"/>
            </w:pPr>
            <w:r>
              <w:rPr>
                <w:rFonts w:ascii="Calibri" w:cs="Calibri" w:eastAsia="Calibri" w:hAnsi="Calibri"/>
                <w:color w:val="111827"/>
                <w:sz w:val="18"/>
                <w:szCs w:val="18"/>
              </w:rPr>
              <w:t xml:space="preserve">5 años</w:t>
            </w:r>
          </w:p>
        </w:tc>
        <w:tc>
          <w:tcPr>
            <w:tcW w:type="dxa" w:w="3300"/>
            <w:shd w:fill="FFFFFF" w:color="auto" w:val="clear"/>
          </w:tcPr>
          <w:p>
            <w:pPr>
              <w:jc w:val="both"/>
            </w:pPr>
            <w:r>
              <w:rPr>
                <w:rFonts w:ascii="Calibri" w:cs="Calibri" w:eastAsia="Calibri" w:hAnsi="Calibri"/>
                <w:color w:val="111827"/>
                <w:sz w:val="18"/>
                <w:szCs w:val="18"/>
              </w:rPr>
              <w:t xml:space="preserve">Circular 100-000016/2020</w:t>
            </w:r>
          </w:p>
        </w:tc>
      </w:tr>
      <w:tr>
        <w:tc>
          <w:tcPr>
            <w:tcW w:type="dxa" w:w="3200"/>
            <w:shd w:fill="F9FAFB" w:color="auto" w:val="clear"/>
          </w:tcPr>
          <w:p>
            <w:pPr>
              <w:jc w:val="both"/>
            </w:pPr>
            <w:r>
              <w:rPr>
                <w:rFonts w:ascii="Calibri" w:cs="Calibri" w:eastAsia="Calibri" w:hAnsi="Calibri"/>
                <w:color w:val="111827"/>
                <w:sz w:val="18"/>
                <w:szCs w:val="18"/>
              </w:rPr>
              <w:t xml:space="preserve">Actas de capacitación LA/FT/FPADM</w:t>
            </w:r>
          </w:p>
        </w:tc>
        <w:tc>
          <w:tcPr>
            <w:tcW w:type="dxa" w:w="2500"/>
            <w:shd w:fill="F9FAFB" w:color="auto" w:val="clear"/>
          </w:tcPr>
          <w:p>
            <w:pPr>
              <w:jc w:val="both"/>
            </w:pPr>
            <w:r>
              <w:rPr>
                <w:rFonts w:ascii="Calibri" w:cs="Calibri" w:eastAsia="Calibri" w:hAnsi="Calibri"/>
                <w:color w:val="111827"/>
                <w:sz w:val="18"/>
                <w:szCs w:val="18"/>
              </w:rPr>
              <w:t xml:space="preserve">5 años</w:t>
            </w:r>
          </w:p>
        </w:tc>
        <w:tc>
          <w:tcPr>
            <w:tcW w:type="dxa" w:w="3300"/>
            <w:shd w:fill="F9FAFB" w:color="auto" w:val="clear"/>
          </w:tcPr>
          <w:p>
            <w:pPr>
              <w:jc w:val="both"/>
            </w:pPr>
            <w:r>
              <w:rPr>
                <w:rFonts w:ascii="Calibri" w:cs="Calibri" w:eastAsia="Calibri" w:hAnsi="Calibri"/>
                <w:color w:val="111827"/>
                <w:sz w:val="18"/>
                <w:szCs w:val="18"/>
              </w:rPr>
              <w:t xml:space="preserve">Circular 100-000016/2020</w:t>
            </w:r>
          </w:p>
        </w:tc>
      </w:tr>
      <w:tr>
        <w:tc>
          <w:tcPr>
            <w:tcW w:type="dxa" w:w="3200"/>
            <w:shd w:fill="FFFFFF" w:color="auto" w:val="clear"/>
          </w:tcPr>
          <w:p>
            <w:pPr>
              <w:jc w:val="both"/>
            </w:pPr>
            <w:r>
              <w:rPr>
                <w:rFonts w:ascii="Calibri" w:cs="Calibri" w:eastAsia="Calibri" w:hAnsi="Calibri"/>
                <w:color w:val="111827"/>
                <w:sz w:val="18"/>
                <w:szCs w:val="18"/>
              </w:rPr>
              <w:t xml:space="preserve">Matrices de riesgo y sus actualizaciones</w:t>
            </w:r>
          </w:p>
        </w:tc>
        <w:tc>
          <w:tcPr>
            <w:tcW w:type="dxa" w:w="2500"/>
            <w:shd w:fill="FFFFFF" w:color="auto" w:val="clear"/>
          </w:tcPr>
          <w:p>
            <w:pPr>
              <w:jc w:val="both"/>
            </w:pPr>
            <w:r>
              <w:rPr>
                <w:rFonts w:ascii="Calibri" w:cs="Calibri" w:eastAsia="Calibri" w:hAnsi="Calibri"/>
                <w:color w:val="111827"/>
                <w:sz w:val="18"/>
                <w:szCs w:val="18"/>
              </w:rPr>
              <w:t xml:space="preserve">Permanente (mientras exista la empresa)</w:t>
            </w:r>
          </w:p>
        </w:tc>
        <w:tc>
          <w:tcPr>
            <w:tcW w:type="dxa" w:w="3300"/>
            <w:shd w:fill="FFFFFF" w:color="auto" w:val="clear"/>
          </w:tcPr>
          <w:p>
            <w:pPr>
              <w:jc w:val="both"/>
            </w:pPr>
            <w:r>
              <w:rPr>
                <w:rFonts w:ascii="Calibri" w:cs="Calibri" w:eastAsia="Calibri" w:hAnsi="Calibri"/>
                <w:color w:val="111827"/>
                <w:sz w:val="18"/>
                <w:szCs w:val="18"/>
              </w:rPr>
              <w:t xml:space="preserve">Buena práctica GAFI</w:t>
            </w:r>
          </w:p>
        </w:tc>
      </w:tr>
      <w:tr>
        <w:tc>
          <w:tcPr>
            <w:tcW w:type="dxa" w:w="3200"/>
            <w:shd w:fill="F9FAFB" w:color="auto" w:val="clear"/>
          </w:tcPr>
          <w:p>
            <w:pPr>
              <w:jc w:val="both"/>
            </w:pPr>
            <w:r>
              <w:rPr>
                <w:rFonts w:ascii="Calibri" w:cs="Calibri" w:eastAsia="Calibri" w:hAnsi="Calibri"/>
                <w:color w:val="111827"/>
                <w:sz w:val="18"/>
                <w:szCs w:val="18"/>
              </w:rPr>
              <w:t xml:space="preserve">Actas del Máximo Órgano Social sobre SAGRILAFT</w:t>
            </w:r>
          </w:p>
        </w:tc>
        <w:tc>
          <w:tcPr>
            <w:tcW w:type="dxa" w:w="2500"/>
            <w:shd w:fill="F9FAFB" w:color="auto" w:val="clear"/>
          </w:tcPr>
          <w:p>
            <w:pPr>
              <w:jc w:val="both"/>
            </w:pPr>
            <w:r>
              <w:rPr>
                <w:rFonts w:ascii="Calibri" w:cs="Calibri" w:eastAsia="Calibri" w:hAnsi="Calibri"/>
                <w:color w:val="111827"/>
                <w:sz w:val="18"/>
                <w:szCs w:val="18"/>
              </w:rPr>
              <w:t xml:space="preserve">Permanente</w:t>
            </w:r>
          </w:p>
        </w:tc>
        <w:tc>
          <w:tcPr>
            <w:tcW w:type="dxa" w:w="3300"/>
            <w:shd w:fill="F9FAFB" w:color="auto" w:val="clear"/>
          </w:tcPr>
          <w:p>
            <w:pPr>
              <w:jc w:val="both"/>
            </w:pPr>
            <w:r>
              <w:rPr>
                <w:rFonts w:ascii="Calibri" w:cs="Calibri" w:eastAsia="Calibri" w:hAnsi="Calibri"/>
                <w:color w:val="111827"/>
                <w:sz w:val="18"/>
                <w:szCs w:val="18"/>
              </w:rPr>
              <w:t xml:space="preserve">Código de Comercio</w:t>
            </w:r>
          </w:p>
        </w:tc>
      </w:tr>
    </w:tbl>
    <w:p>
      <w:pPr>
        <w:spacing w:after="80" w:before="80"/>
      </w:pPr>
    </w:p>
    <w:p>
      <w:pPr>
        <w:spacing w:after="100" w:before="100"/>
        <w:ind w:left="400"/>
        <w:jc w:val="both"/>
      </w:pPr>
      <w:r>
        <w:rPr>
          <w:rFonts w:ascii="Calibri" w:cs="Calibri" w:eastAsia="Calibri" w:hAnsi="Calibri"/>
          <w:i/>
          <w:iCs/>
          <w:color w:val="B45309"/>
          <w:sz w:val="19"/>
          <w:szCs w:val="19"/>
        </w:rPr>
        <w:t xml:space="preserve">⚠  Los documentos relacionados con ROS tienen carácter RESERVADO y su confidencialidad debe mantenerse de manera estricta. Solo pueden ser conocidos por el Oficial de Cumplimiento, la Gerencia General y las autoridades competentes que los requieran legalmente.</w:t>
      </w:r>
    </w:p>
    <w:p>
      <w:pPr>
        <w:pBdr>
          <w:bottom w:val="thick" w:color="122EEF" w:sz="10"/>
        </w:pBdr>
        <w:spacing w:after="260" w:before="600"/>
      </w:pPr>
      <w:r>
        <w:rPr>
          <w:rFonts w:ascii="Calibri" w:cs="Calibri" w:eastAsia="Calibri" w:hAnsi="Calibri"/>
          <w:b/>
          <w:bCs/>
          <w:color w:val="122EEF"/>
          <w:sz w:val="38"/>
          <w:szCs w:val="38"/>
        </w:rPr>
        <w:t xml:space="preserve">12. REVISIÓN Y ACTUALIZACIÓN DEL SISTEMA</w:t>
      </w:r>
    </w:p>
    <w:p>
      <w:pPr>
        <w:spacing w:after="80" w:before="80"/>
        <w:jc w:val="both"/>
      </w:pPr>
      <w:r>
        <w:rPr>
          <w:rFonts w:ascii="Calibri" w:cs="Calibri" w:eastAsia="Calibri" w:hAnsi="Calibri"/>
          <w:color w:val="111827"/>
          <w:sz w:val="20"/>
          <w:szCs w:val="20"/>
        </w:rPr>
        <w:t xml:space="preserve">El SAGRILAFT de VIP PASS será revisado y actualizado en los siguientes casos:</w:t>
      </w:r>
    </w:p>
    <w:p>
      <w:pPr>
        <w:spacing w:after="65" w:before="65"/>
        <w:ind w:left="500"/>
        <w:jc w:val="both"/>
      </w:pPr>
      <w:r>
        <w:rPr>
          <w:rFonts w:ascii="Calibri" w:cs="Calibri" w:eastAsia="Calibri" w:hAnsi="Calibri"/>
          <w:color w:val="111827"/>
          <w:sz w:val="20"/>
          <w:szCs w:val="20"/>
        </w:rPr>
        <w:t xml:space="preserve">▸  Obligatoriamente: al menos cada dos (2) años, con aprobación del Máximo Órgano Social.</w:t>
      </w:r>
    </w:p>
    <w:p>
      <w:pPr>
        <w:spacing w:after="65" w:before="65"/>
        <w:ind w:left="500"/>
        <w:jc w:val="both"/>
      </w:pPr>
      <w:r>
        <w:rPr>
          <w:rFonts w:ascii="Calibri" w:cs="Calibri" w:eastAsia="Calibri" w:hAnsi="Calibri"/>
          <w:color w:val="111827"/>
          <w:sz w:val="20"/>
          <w:szCs w:val="20"/>
        </w:rPr>
        <w:t xml:space="preserve">▸  Ante cambios normativos relevantes emitidos por la Supersociedades, la UIAF o el GAFI.</w:t>
      </w:r>
    </w:p>
    <w:p>
      <w:pPr>
        <w:spacing w:after="65" w:before="65"/>
        <w:ind w:left="500"/>
        <w:jc w:val="both"/>
      </w:pPr>
      <w:r>
        <w:rPr>
          <w:rFonts w:ascii="Calibri" w:cs="Calibri" w:eastAsia="Calibri" w:hAnsi="Calibri"/>
          <w:color w:val="111827"/>
          <w:sz w:val="20"/>
          <w:szCs w:val="20"/>
        </w:rPr>
        <w:t xml:space="preserve">▸  Cuando se detecten deficiencias en los controles que hayan permitido la materialización de un riesgo LA/FT/FPADM.</w:t>
      </w:r>
    </w:p>
    <w:p>
      <w:pPr>
        <w:spacing w:after="65" w:before="65"/>
        <w:ind w:left="500"/>
        <w:jc w:val="both"/>
      </w:pPr>
      <w:r>
        <w:rPr>
          <w:rFonts w:ascii="Calibri" w:cs="Calibri" w:eastAsia="Calibri" w:hAnsi="Calibri"/>
          <w:color w:val="111827"/>
          <w:sz w:val="20"/>
          <w:szCs w:val="20"/>
        </w:rPr>
        <w:t xml:space="preserve">▸  Cuando VIP PASS incorpore nuevos productos, servicios, canales de distribución o jurisdicciones de operación que impliquen nuevos factores de riesgo.</w:t>
      </w:r>
    </w:p>
    <w:p>
      <w:pPr>
        <w:spacing w:after="65" w:before="65"/>
        <w:ind w:left="500"/>
        <w:jc w:val="both"/>
      </w:pPr>
      <w:r>
        <w:rPr>
          <w:rFonts w:ascii="Calibri" w:cs="Calibri" w:eastAsia="Calibri" w:hAnsi="Calibri"/>
          <w:color w:val="111827"/>
          <w:sz w:val="20"/>
          <w:szCs w:val="20"/>
        </w:rPr>
        <w:t xml:space="preserve">▸  Cuando los indicadores de efectividad del sistema muestren resultados insatisfactorios.</w:t>
      </w:r>
    </w:p>
    <w:p>
      <w:pPr>
        <w:spacing w:after="80" w:before="80"/>
        <w:jc w:val="both"/>
      </w:pPr>
      <w:r>
        <w:rPr>
          <w:rFonts w:ascii="Calibri" w:cs="Calibri" w:eastAsia="Calibri" w:hAnsi="Calibri"/>
          <w:color w:val="111827"/>
          <w:sz w:val="20"/>
          <w:szCs w:val="20"/>
        </w:rPr>
        <w:t xml:space="preserve">Toda actualización debe ser aprobada por la Junta Directiva o el Máximo Órgano Social, registrada en el historial de versiones y comunicada a todos los colaboradores.</w:t>
      </w:r>
    </w:p>
    <w:p>
      <w:pPr>
        <w:pBdr>
          <w:bottom w:val="single" w:color="122EEF" w:sz="6"/>
        </w:pBdr>
        <w:spacing w:after="180" w:before="400"/>
      </w:pPr>
      <w:r>
        <w:rPr>
          <w:rFonts w:ascii="Calibri" w:cs="Calibri" w:eastAsia="Calibri" w:hAnsi="Calibri"/>
          <w:b/>
          <w:bCs/>
          <w:color w:val="111827"/>
          <w:sz w:val="28"/>
          <w:szCs w:val="28"/>
        </w:rPr>
        <w:t xml:space="preserve">ANEXO 1 — LISTAS RESTRICTIVAS QUE DEBE CONSULTAR VIP PASS</w:t>
      </w:r>
    </w:p>
    <w:p>
      <w:pPr>
        <w:spacing w:after="80" w:before="8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W w:type="dxa" w:w="2500"/>
            <w:shd w:fill="122EEF" w:color="auto" w:val="clear"/>
          </w:tcPr>
          <w:p>
            <w:pPr>
              <w:jc w:val="center"/>
            </w:pPr>
            <w:r>
              <w:rPr>
                <w:rFonts w:ascii="Calibri" w:cs="Calibri" w:eastAsia="Calibri" w:hAnsi="Calibri"/>
                <w:b/>
                <w:bCs/>
                <w:color w:val="FFFFFF"/>
                <w:sz w:val="19"/>
                <w:szCs w:val="19"/>
              </w:rPr>
              <w:t xml:space="preserve">Lista</w:t>
            </w:r>
          </w:p>
        </w:tc>
        <w:tc>
          <w:tcPr>
            <w:tcW w:type="dxa" w:w="1700"/>
            <w:shd w:fill="122EEF" w:color="auto" w:val="clear"/>
          </w:tcPr>
          <w:p>
            <w:pPr>
              <w:jc w:val="center"/>
            </w:pPr>
            <w:r>
              <w:rPr>
                <w:rFonts w:ascii="Calibri" w:cs="Calibri" w:eastAsia="Calibri" w:hAnsi="Calibri"/>
                <w:b/>
                <w:bCs/>
                <w:color w:val="FFFFFF"/>
                <w:sz w:val="19"/>
                <w:szCs w:val="19"/>
              </w:rPr>
              <w:t xml:space="preserve">Administrada por</w:t>
            </w:r>
          </w:p>
        </w:tc>
        <w:tc>
          <w:tcPr>
            <w:tcW w:type="dxa" w:w="2500"/>
            <w:shd w:fill="122EEF" w:color="auto" w:val="clear"/>
          </w:tcPr>
          <w:p>
            <w:pPr>
              <w:jc w:val="center"/>
            </w:pPr>
            <w:r>
              <w:rPr>
                <w:rFonts w:ascii="Calibri" w:cs="Calibri" w:eastAsia="Calibri" w:hAnsi="Calibri"/>
                <w:b/>
                <w:bCs/>
                <w:color w:val="FFFFFF"/>
                <w:sz w:val="19"/>
                <w:szCs w:val="19"/>
              </w:rPr>
              <w:t xml:space="preserve">URL de consulta</w:t>
            </w:r>
          </w:p>
        </w:tc>
        <w:tc>
          <w:tcPr>
            <w:tcW w:type="dxa" w:w="2300"/>
            <w:shd w:fill="122EEF" w:color="auto" w:val="clear"/>
          </w:tcPr>
          <w:p>
            <w:pPr>
              <w:jc w:val="center"/>
            </w:pPr>
            <w:r>
              <w:rPr>
                <w:rFonts w:ascii="Calibri" w:cs="Calibri" w:eastAsia="Calibri" w:hAnsi="Calibri"/>
                <w:b/>
                <w:bCs/>
                <w:color w:val="FFFFFF"/>
                <w:sz w:val="19"/>
                <w:szCs w:val="19"/>
              </w:rPr>
              <w:t xml:space="preserve">Frecuencia mínima de consulta</w:t>
            </w:r>
          </w:p>
        </w:tc>
      </w:tr>
      <w:tr>
        <w:tc>
          <w:tcPr>
            <w:tcW w:type="dxa" w:w="2500"/>
            <w:shd w:fill="F9FAFB" w:color="auto" w:val="clear"/>
          </w:tcPr>
          <w:p>
            <w:pPr>
              <w:jc w:val="both"/>
            </w:pPr>
            <w:r>
              <w:rPr>
                <w:rFonts w:ascii="Calibri" w:cs="Calibri" w:eastAsia="Calibri" w:hAnsi="Calibri"/>
                <w:color w:val="111827"/>
                <w:sz w:val="18"/>
                <w:szCs w:val="18"/>
              </w:rPr>
              <w:t xml:space="preserve">Lista OFAC — SDN (Specially Designated Nationals)</w:t>
            </w:r>
          </w:p>
        </w:tc>
        <w:tc>
          <w:tcPr>
            <w:tcW w:type="dxa" w:w="1700"/>
            <w:shd w:fill="F9FAFB" w:color="auto" w:val="clear"/>
          </w:tcPr>
          <w:p>
            <w:pPr>
              <w:jc w:val="both"/>
            </w:pPr>
            <w:r>
              <w:rPr>
                <w:rFonts w:ascii="Calibri" w:cs="Calibri" w:eastAsia="Calibri" w:hAnsi="Calibri"/>
                <w:color w:val="111827"/>
                <w:sz w:val="18"/>
                <w:szCs w:val="18"/>
              </w:rPr>
              <w:t xml:space="preserve">Departamento del Tesoro de EE.UU.</w:t>
            </w:r>
          </w:p>
        </w:tc>
        <w:tc>
          <w:tcPr>
            <w:tcW w:type="dxa" w:w="2500"/>
            <w:shd w:fill="F9FAFB" w:color="auto" w:val="clear"/>
          </w:tcPr>
          <w:p>
            <w:pPr>
              <w:jc w:val="both"/>
            </w:pPr>
            <w:r>
              <w:rPr>
                <w:rFonts w:ascii="Calibri" w:cs="Calibri" w:eastAsia="Calibri" w:hAnsi="Calibri"/>
                <w:color w:val="111827"/>
                <w:sz w:val="18"/>
                <w:szCs w:val="18"/>
              </w:rPr>
              <w:t xml:space="preserve">ofac.treasury.gov</w:t>
            </w:r>
          </w:p>
        </w:tc>
        <w:tc>
          <w:tcPr>
            <w:tcW w:type="dxa" w:w="2300"/>
            <w:shd w:fill="F9FAFB" w:color="auto" w:val="clear"/>
          </w:tcPr>
          <w:p>
            <w:pPr>
              <w:jc w:val="both"/>
            </w:pPr>
            <w:r>
              <w:rPr>
                <w:rFonts w:ascii="Calibri" w:cs="Calibri" w:eastAsia="Calibri" w:hAnsi="Calibri"/>
                <w:color w:val="111827"/>
                <w:sz w:val="18"/>
                <w:szCs w:val="18"/>
              </w:rPr>
              <w:t xml:space="preserve">Al momento de vinculación + periódica mensual para contrapartes activas</w:t>
            </w:r>
          </w:p>
        </w:tc>
      </w:tr>
      <w:tr>
        <w:tc>
          <w:tcPr>
            <w:tcW w:type="dxa" w:w="2500"/>
            <w:shd w:fill="FFFFFF" w:color="auto" w:val="clear"/>
          </w:tcPr>
          <w:p>
            <w:pPr>
              <w:jc w:val="both"/>
            </w:pPr>
            <w:r>
              <w:rPr>
                <w:rFonts w:ascii="Calibri" w:cs="Calibri" w:eastAsia="Calibri" w:hAnsi="Calibri"/>
                <w:color w:val="111827"/>
                <w:sz w:val="18"/>
                <w:szCs w:val="18"/>
              </w:rPr>
              <w:t xml:space="preserve">Listas consolidadas de sanciones ONU</w:t>
            </w:r>
          </w:p>
        </w:tc>
        <w:tc>
          <w:tcPr>
            <w:tcW w:type="dxa" w:w="1700"/>
            <w:shd w:fill="FFFFFF" w:color="auto" w:val="clear"/>
          </w:tcPr>
          <w:p>
            <w:pPr>
              <w:jc w:val="both"/>
            </w:pPr>
            <w:r>
              <w:rPr>
                <w:rFonts w:ascii="Calibri" w:cs="Calibri" w:eastAsia="Calibri" w:hAnsi="Calibri"/>
                <w:color w:val="111827"/>
                <w:sz w:val="18"/>
                <w:szCs w:val="18"/>
              </w:rPr>
              <w:t xml:space="preserve">Consejo de Seguridad de la ONU</w:t>
            </w:r>
          </w:p>
        </w:tc>
        <w:tc>
          <w:tcPr>
            <w:tcW w:type="dxa" w:w="2500"/>
            <w:shd w:fill="FFFFFF" w:color="auto" w:val="clear"/>
          </w:tcPr>
          <w:p>
            <w:pPr>
              <w:jc w:val="both"/>
            </w:pPr>
            <w:r>
              <w:rPr>
                <w:rFonts w:ascii="Calibri" w:cs="Calibri" w:eastAsia="Calibri" w:hAnsi="Calibri"/>
                <w:color w:val="111827"/>
                <w:sz w:val="18"/>
                <w:szCs w:val="18"/>
              </w:rPr>
              <w:t xml:space="preserve">un.org/securitycouncil/sanctions</w:t>
            </w:r>
          </w:p>
        </w:tc>
        <w:tc>
          <w:tcPr>
            <w:tcW w:type="dxa" w:w="2300"/>
            <w:shd w:fill="FFFFFF" w:color="auto" w:val="clear"/>
          </w:tcPr>
          <w:p>
            <w:pPr>
              <w:jc w:val="both"/>
            </w:pPr>
            <w:r>
              <w:rPr>
                <w:rFonts w:ascii="Calibri" w:cs="Calibri" w:eastAsia="Calibri" w:hAnsi="Calibri"/>
                <w:color w:val="111827"/>
                <w:sz w:val="18"/>
                <w:szCs w:val="18"/>
              </w:rPr>
              <w:t xml:space="preserve">Al momento de vinculación</w:t>
            </w:r>
          </w:p>
        </w:tc>
      </w:tr>
      <w:tr>
        <w:tc>
          <w:tcPr>
            <w:tcW w:type="dxa" w:w="2500"/>
            <w:shd w:fill="F9FAFB" w:color="auto" w:val="clear"/>
          </w:tcPr>
          <w:p>
            <w:pPr>
              <w:jc w:val="both"/>
            </w:pPr>
            <w:r>
              <w:rPr>
                <w:rFonts w:ascii="Calibri" w:cs="Calibri" w:eastAsia="Calibri" w:hAnsi="Calibri"/>
                <w:color w:val="111827"/>
                <w:sz w:val="18"/>
                <w:szCs w:val="18"/>
              </w:rPr>
              <w:t xml:space="preserve">Lista de la Unión Europea (sanciones)</w:t>
            </w:r>
          </w:p>
        </w:tc>
        <w:tc>
          <w:tcPr>
            <w:tcW w:type="dxa" w:w="1700"/>
            <w:shd w:fill="F9FAFB" w:color="auto" w:val="clear"/>
          </w:tcPr>
          <w:p>
            <w:pPr>
              <w:jc w:val="both"/>
            </w:pPr>
            <w:r>
              <w:rPr>
                <w:rFonts w:ascii="Calibri" w:cs="Calibri" w:eastAsia="Calibri" w:hAnsi="Calibri"/>
                <w:color w:val="111827"/>
                <w:sz w:val="18"/>
                <w:szCs w:val="18"/>
              </w:rPr>
              <w:t xml:space="preserve">Servicio de Acción Exterior UE</w:t>
            </w:r>
          </w:p>
        </w:tc>
        <w:tc>
          <w:tcPr>
            <w:tcW w:type="dxa" w:w="2500"/>
            <w:shd w:fill="F9FAFB" w:color="auto" w:val="clear"/>
          </w:tcPr>
          <w:p>
            <w:pPr>
              <w:jc w:val="both"/>
            </w:pPr>
            <w:r>
              <w:rPr>
                <w:rFonts w:ascii="Calibri" w:cs="Calibri" w:eastAsia="Calibri" w:hAnsi="Calibri"/>
                <w:color w:val="111827"/>
                <w:sz w:val="18"/>
                <w:szCs w:val="18"/>
              </w:rPr>
              <w:t xml:space="preserve">sanctions.europa.eu</w:t>
            </w:r>
          </w:p>
        </w:tc>
        <w:tc>
          <w:tcPr>
            <w:tcW w:type="dxa" w:w="2300"/>
            <w:shd w:fill="F9FAFB" w:color="auto" w:val="clear"/>
          </w:tcPr>
          <w:p>
            <w:pPr>
              <w:jc w:val="both"/>
            </w:pPr>
            <w:r>
              <w:rPr>
                <w:rFonts w:ascii="Calibri" w:cs="Calibri" w:eastAsia="Calibri" w:hAnsi="Calibri"/>
                <w:color w:val="111827"/>
                <w:sz w:val="18"/>
                <w:szCs w:val="18"/>
              </w:rPr>
              <w:t xml:space="preserve">Al momento de vinculación</w:t>
            </w:r>
          </w:p>
        </w:tc>
      </w:tr>
      <w:tr>
        <w:tc>
          <w:tcPr>
            <w:tcW w:type="dxa" w:w="2500"/>
            <w:shd w:fill="FFFFFF" w:color="auto" w:val="clear"/>
          </w:tcPr>
          <w:p>
            <w:pPr>
              <w:jc w:val="both"/>
            </w:pPr>
            <w:r>
              <w:rPr>
                <w:rFonts w:ascii="Calibri" w:cs="Calibri" w:eastAsia="Calibri" w:hAnsi="Calibri"/>
                <w:color w:val="111827"/>
                <w:sz w:val="18"/>
                <w:szCs w:val="18"/>
              </w:rPr>
              <w:t xml:space="preserve">Lista de inhabilitados — Procuraduría</w:t>
            </w:r>
          </w:p>
        </w:tc>
        <w:tc>
          <w:tcPr>
            <w:tcW w:type="dxa" w:w="1700"/>
            <w:shd w:fill="FFFFFF" w:color="auto" w:val="clear"/>
          </w:tcPr>
          <w:p>
            <w:pPr>
              <w:jc w:val="both"/>
            </w:pPr>
            <w:r>
              <w:rPr>
                <w:rFonts w:ascii="Calibri" w:cs="Calibri" w:eastAsia="Calibri" w:hAnsi="Calibri"/>
                <w:color w:val="111827"/>
                <w:sz w:val="18"/>
                <w:szCs w:val="18"/>
              </w:rPr>
              <w:t xml:space="preserve">Procuraduría General de la Nación</w:t>
            </w:r>
          </w:p>
        </w:tc>
        <w:tc>
          <w:tcPr>
            <w:tcW w:type="dxa" w:w="2500"/>
            <w:shd w:fill="FFFFFF" w:color="auto" w:val="clear"/>
          </w:tcPr>
          <w:p>
            <w:pPr>
              <w:jc w:val="both"/>
            </w:pPr>
            <w:r>
              <w:rPr>
                <w:rFonts w:ascii="Calibri" w:cs="Calibri" w:eastAsia="Calibri" w:hAnsi="Calibri"/>
                <w:color w:val="111827"/>
                <w:sz w:val="18"/>
                <w:szCs w:val="18"/>
              </w:rPr>
              <w:t xml:space="preserve">siri.procuraduria.gov.co</w:t>
            </w:r>
          </w:p>
        </w:tc>
        <w:tc>
          <w:tcPr>
            <w:tcW w:type="dxa" w:w="2300"/>
            <w:shd w:fill="FFFFFF" w:color="auto" w:val="clear"/>
          </w:tcPr>
          <w:p>
            <w:pPr>
              <w:jc w:val="both"/>
            </w:pPr>
            <w:r>
              <w:rPr>
                <w:rFonts w:ascii="Calibri" w:cs="Calibri" w:eastAsia="Calibri" w:hAnsi="Calibri"/>
                <w:color w:val="111827"/>
                <w:sz w:val="18"/>
                <w:szCs w:val="18"/>
              </w:rPr>
              <w:t xml:space="preserve">Al momento de vinculación de proveedores y productores</w:t>
            </w:r>
          </w:p>
        </w:tc>
      </w:tr>
      <w:tr>
        <w:tc>
          <w:tcPr>
            <w:tcW w:type="dxa" w:w="2500"/>
            <w:shd w:fill="F9FAFB" w:color="auto" w:val="clear"/>
          </w:tcPr>
          <w:p>
            <w:pPr>
              <w:jc w:val="both"/>
            </w:pPr>
            <w:r>
              <w:rPr>
                <w:rFonts w:ascii="Calibri" w:cs="Calibri" w:eastAsia="Calibri" w:hAnsi="Calibri"/>
                <w:color w:val="111827"/>
                <w:sz w:val="18"/>
                <w:szCs w:val="18"/>
              </w:rPr>
              <w:t xml:space="preserve">RNMC — Registro de Medidas Cautelares</w:t>
            </w:r>
          </w:p>
        </w:tc>
        <w:tc>
          <w:tcPr>
            <w:tcW w:type="dxa" w:w="1700"/>
            <w:shd w:fill="F9FAFB" w:color="auto" w:val="clear"/>
          </w:tcPr>
          <w:p>
            <w:pPr>
              <w:jc w:val="both"/>
            </w:pPr>
            <w:r>
              <w:rPr>
                <w:rFonts w:ascii="Calibri" w:cs="Calibri" w:eastAsia="Calibri" w:hAnsi="Calibri"/>
                <w:color w:val="111827"/>
                <w:sz w:val="18"/>
                <w:szCs w:val="18"/>
              </w:rPr>
              <w:t xml:space="preserve">Supersociedades</w:t>
            </w:r>
          </w:p>
        </w:tc>
        <w:tc>
          <w:tcPr>
            <w:tcW w:type="dxa" w:w="2500"/>
            <w:shd w:fill="F9FAFB" w:color="auto" w:val="clear"/>
          </w:tcPr>
          <w:p>
            <w:pPr>
              <w:jc w:val="both"/>
            </w:pPr>
            <w:r>
              <w:rPr>
                <w:rFonts w:ascii="Calibri" w:cs="Calibri" w:eastAsia="Calibri" w:hAnsi="Calibri"/>
                <w:color w:val="111827"/>
                <w:sz w:val="18"/>
                <w:szCs w:val="18"/>
              </w:rPr>
              <w:t xml:space="preserve">supersociedades.gov.co</w:t>
            </w:r>
          </w:p>
        </w:tc>
        <w:tc>
          <w:tcPr>
            <w:tcW w:type="dxa" w:w="2300"/>
            <w:shd w:fill="F9FAFB" w:color="auto" w:val="clear"/>
          </w:tcPr>
          <w:p>
            <w:pPr>
              <w:jc w:val="both"/>
            </w:pPr>
            <w:r>
              <w:rPr>
                <w:rFonts w:ascii="Calibri" w:cs="Calibri" w:eastAsia="Calibri" w:hAnsi="Calibri"/>
                <w:color w:val="111827"/>
                <w:sz w:val="18"/>
                <w:szCs w:val="18"/>
              </w:rPr>
              <w:t xml:space="preserve">Al momento de vinculación de contrapartes empresariales</w:t>
            </w:r>
          </w:p>
        </w:tc>
      </w:tr>
      <w:tr>
        <w:tc>
          <w:tcPr>
            <w:tcW w:type="dxa" w:w="2500"/>
            <w:shd w:fill="FFFFFF" w:color="auto" w:val="clear"/>
          </w:tcPr>
          <w:p>
            <w:pPr>
              <w:jc w:val="both"/>
            </w:pPr>
            <w:r>
              <w:rPr>
                <w:rFonts w:ascii="Calibri" w:cs="Calibri" w:eastAsia="Calibri" w:hAnsi="Calibri"/>
                <w:color w:val="111827"/>
                <w:sz w:val="18"/>
                <w:szCs w:val="18"/>
              </w:rPr>
              <w:t xml:space="preserve">Lista de fallidos / liquidados</w:t>
            </w:r>
          </w:p>
        </w:tc>
        <w:tc>
          <w:tcPr>
            <w:tcW w:type="dxa" w:w="1700"/>
            <w:shd w:fill="FFFFFF" w:color="auto" w:val="clear"/>
          </w:tcPr>
          <w:p>
            <w:pPr>
              <w:jc w:val="both"/>
            </w:pPr>
            <w:r>
              <w:rPr>
                <w:rFonts w:ascii="Calibri" w:cs="Calibri" w:eastAsia="Calibri" w:hAnsi="Calibri"/>
                <w:color w:val="111827"/>
                <w:sz w:val="18"/>
                <w:szCs w:val="18"/>
              </w:rPr>
              <w:t xml:space="preserve">Supersociedades — SIREM</w:t>
            </w:r>
          </w:p>
        </w:tc>
        <w:tc>
          <w:tcPr>
            <w:tcW w:type="dxa" w:w="2500"/>
            <w:shd w:fill="FFFFFF" w:color="auto" w:val="clear"/>
          </w:tcPr>
          <w:p>
            <w:pPr>
              <w:jc w:val="both"/>
            </w:pPr>
            <w:r>
              <w:rPr>
                <w:rFonts w:ascii="Calibri" w:cs="Calibri" w:eastAsia="Calibri" w:hAnsi="Calibri"/>
                <w:color w:val="111827"/>
                <w:sz w:val="18"/>
                <w:szCs w:val="18"/>
              </w:rPr>
              <w:t xml:space="preserve">supersociedades.gov.co/SIREM</w:t>
            </w:r>
          </w:p>
        </w:tc>
        <w:tc>
          <w:tcPr>
            <w:tcW w:type="dxa" w:w="2300"/>
            <w:shd w:fill="FFFFFF" w:color="auto" w:val="clear"/>
          </w:tcPr>
          <w:p>
            <w:pPr>
              <w:jc w:val="both"/>
            </w:pPr>
            <w:r>
              <w:rPr>
                <w:rFonts w:ascii="Calibri" w:cs="Calibri" w:eastAsia="Calibri" w:hAnsi="Calibri"/>
                <w:color w:val="111827"/>
                <w:sz w:val="18"/>
                <w:szCs w:val="18"/>
              </w:rPr>
              <w:t xml:space="preserve">Al momento de vinculación de productores</w:t>
            </w:r>
          </w:p>
        </w:tc>
      </w:tr>
      <w:tr>
        <w:tc>
          <w:tcPr>
            <w:tcW w:type="dxa" w:w="2500"/>
            <w:shd w:fill="F9FAFB" w:color="auto" w:val="clear"/>
          </w:tcPr>
          <w:p>
            <w:pPr>
              <w:jc w:val="both"/>
            </w:pPr>
            <w:r>
              <w:rPr>
                <w:rFonts w:ascii="Calibri" w:cs="Calibri" w:eastAsia="Calibri" w:hAnsi="Calibri"/>
                <w:color w:val="111827"/>
                <w:sz w:val="18"/>
                <w:szCs w:val="18"/>
              </w:rPr>
              <w:t xml:space="preserve">Consulta de PEP</w:t>
            </w:r>
          </w:p>
        </w:tc>
        <w:tc>
          <w:tcPr>
            <w:tcW w:type="dxa" w:w="1700"/>
            <w:shd w:fill="F9FAFB" w:color="auto" w:val="clear"/>
          </w:tcPr>
          <w:p>
            <w:pPr>
              <w:jc w:val="both"/>
            </w:pPr>
            <w:r>
              <w:rPr>
                <w:rFonts w:ascii="Calibri" w:cs="Calibri" w:eastAsia="Calibri" w:hAnsi="Calibri"/>
                <w:color w:val="111827"/>
                <w:sz w:val="18"/>
                <w:szCs w:val="18"/>
              </w:rPr>
              <w:t xml:space="preserve">Función Pública / Secop</w:t>
            </w:r>
          </w:p>
        </w:tc>
        <w:tc>
          <w:tcPr>
            <w:tcW w:type="dxa" w:w="2500"/>
            <w:shd w:fill="F9FAFB" w:color="auto" w:val="clear"/>
          </w:tcPr>
          <w:p>
            <w:pPr>
              <w:jc w:val="both"/>
            </w:pPr>
            <w:r>
              <w:rPr>
                <w:rFonts w:ascii="Calibri" w:cs="Calibri" w:eastAsia="Calibri" w:hAnsi="Calibri"/>
                <w:color w:val="111827"/>
                <w:sz w:val="18"/>
                <w:szCs w:val="18"/>
              </w:rPr>
              <w:t xml:space="preserve">funcionpublica.gov.co</w:t>
            </w:r>
          </w:p>
        </w:tc>
        <w:tc>
          <w:tcPr>
            <w:tcW w:type="dxa" w:w="2300"/>
            <w:shd w:fill="F9FAFB" w:color="auto" w:val="clear"/>
          </w:tcPr>
          <w:p>
            <w:pPr>
              <w:jc w:val="both"/>
            </w:pPr>
            <w:r>
              <w:rPr>
                <w:rFonts w:ascii="Calibri" w:cs="Calibri" w:eastAsia="Calibri" w:hAnsi="Calibri"/>
                <w:color w:val="111827"/>
                <w:sz w:val="18"/>
                <w:szCs w:val="18"/>
              </w:rPr>
              <w:t xml:space="preserve">Al momento de vinculación</w:t>
            </w:r>
          </w:p>
        </w:tc>
      </w:tr>
    </w:tbl>
    <w:p>
      <w:pPr>
        <w:spacing w:after="80" w:before="80"/>
      </w:pPr>
    </w:p>
    <w:p>
      <w:pPr>
        <w:pBdr>
          <w:bottom w:val="single" w:color="122EEF" w:sz="6"/>
        </w:pBdr>
        <w:spacing w:after="180" w:before="400"/>
      </w:pPr>
      <w:r>
        <w:rPr>
          <w:rFonts w:ascii="Calibri" w:cs="Calibri" w:eastAsia="Calibri" w:hAnsi="Calibri"/>
          <w:b/>
          <w:bCs/>
          <w:color w:val="111827"/>
          <w:sz w:val="28"/>
          <w:szCs w:val="28"/>
        </w:rPr>
        <w:t xml:space="preserve">ANEXO 2 — CANALES OFICIALES DE REPORTE</w:t>
      </w:r>
    </w:p>
    <w:p>
      <w:pPr>
        <w:spacing w:after="65" w:before="65"/>
        <w:ind w:left="500"/>
        <w:jc w:val="both"/>
      </w:pPr>
      <w:r>
        <w:rPr>
          <w:rFonts w:ascii="Calibri" w:cs="Calibri" w:eastAsia="Calibri" w:hAnsi="Calibri"/>
          <w:color w:val="111827"/>
          <w:sz w:val="20"/>
          <w:szCs w:val="20"/>
        </w:rPr>
        <w:t xml:space="preserve">▸  UIAF — SIREL (Sistema de Reporte en Línea): www.uiaf.gov.co/sirel — Para ROS y AROS.</w:t>
      </w:r>
    </w:p>
    <w:p>
      <w:pPr>
        <w:spacing w:after="65" w:before="65"/>
        <w:ind w:left="500"/>
        <w:jc w:val="both"/>
      </w:pPr>
      <w:r>
        <w:rPr>
          <w:rFonts w:ascii="Calibri" w:cs="Calibri" w:eastAsia="Calibri" w:hAnsi="Calibri"/>
          <w:color w:val="111827"/>
          <w:sz w:val="20"/>
          <w:szCs w:val="20"/>
        </w:rPr>
        <w:t xml:space="preserve">▸  Superintendencia de Sociedades — STORM: www.supersociedades.gov.co — Para Informe 75.</w:t>
      </w:r>
    </w:p>
    <w:p>
      <w:pPr>
        <w:spacing w:after="65" w:before="65"/>
        <w:ind w:left="500"/>
        <w:jc w:val="both"/>
      </w:pPr>
      <w:r>
        <w:rPr>
          <w:rFonts w:ascii="Calibri" w:cs="Calibri" w:eastAsia="Calibri" w:hAnsi="Calibri"/>
          <w:color w:val="111827"/>
          <w:sz w:val="20"/>
          <w:szCs w:val="20"/>
        </w:rPr>
        <w:t xml:space="preserve">▸  Fiscalía General de la Nación: www.fiscalia.gov.co — Para denuncias penales.</w:t>
      </w:r>
    </w:p>
    <w:p>
      <w:pPr>
        <w:spacing w:after="65" w:before="65"/>
        <w:ind w:left="500"/>
        <w:jc w:val="both"/>
      </w:pPr>
      <w:r>
        <w:rPr>
          <w:rFonts w:ascii="Calibri" w:cs="Calibri" w:eastAsia="Calibri" w:hAnsi="Calibri"/>
          <w:color w:val="111827"/>
          <w:sz w:val="20"/>
          <w:szCs w:val="20"/>
        </w:rPr>
        <w:t xml:space="preserve">▸  Canal interno VIP PASS — Oficial de Cumplimiento: Eventos@vippass.com.co  |  WhatsApp: +57 302 715 0904.</w:t>
      </w:r>
    </w:p>
    <w:p>
      <w:pPr>
        <w:spacing w:after="60" w:before="60"/>
        <w:ind w:left="480"/>
      </w:pPr>
      <w:r>
        <w:rPr>
          <w:rFonts w:ascii="Calibri" w:hAnsi="Calibri"/>
          <w:sz w:val="20"/>
          <w:szCs w:val="20"/>
        </w:rPr>
        <w:t xml:space="preserve">▸  Dirección física: Kilómetro 2 Autopista Medellín, Costado Norte, Parque Empresarial Tecnológico, Torre A Piso 5, Bogotá D.C., Colombia</w:t>
      </w:r>
    </w:p>
    <w:p>
      <w:pPr>
        <w:spacing w:after="80" w:before="80"/>
      </w:pPr>
    </w:p>
    <w:p>
      <w:pPr>
        <w:spacing w:before="400"/>
        <w:jc w:val="center"/>
      </w:pPr>
      <w:r>
        <w:rPr>
          <w:rFonts w:ascii="Calibri" w:cs="Calibri" w:eastAsia="Calibri" w:hAnsi="Calibri"/>
          <w:i/>
          <w:iCs/>
          <w:color w:val="6B7280"/>
          <w:sz w:val="18"/>
          <w:szCs w:val="18"/>
        </w:rPr>
        <w:t xml:space="preserve">Código: VIP-SAGRILAFT-001  |  Versión 1.0  |  Julio 2025</w:t>
      </w:r>
    </w:p>
    <w:p>
      <w:pPr>
        <w:spacing w:before="80"/>
        <w:jc w:val="center"/>
      </w:pPr>
      <w:r>
        <w:rPr>
          <w:rFonts w:ascii="Calibri" w:cs="Calibri" w:eastAsia="Calibri" w:hAnsi="Calibri"/>
          <w:i/>
          <w:iCs/>
          <w:color w:val="B91C1C"/>
          <w:sz w:val="17"/>
          <w:szCs w:val="17"/>
        </w:rPr>
        <w:t xml:space="preserve">CONFIDENCIAL — Este documento no debe ser divulgado fuera de VIP PASS sin autorización expresa del Oficial de Cumplimiento</w:t>
      </w:r>
    </w:p>
    <w:p>
      <w:pPr>
        <w:spacing w:before="80"/>
        <w:jc w:val="center"/>
      </w:pPr>
      <w:r>
        <w:rPr>
          <w:rFonts w:ascii="Calibri" w:cs="Calibri" w:eastAsia="Calibri" w:hAnsi="Calibri"/>
          <w:color w:val="122EEF"/>
          <w:sz w:val="18"/>
          <w:szCs w:val="18"/>
        </w:rPr>
        <w:t xml:space="preserve">© 2025 VIP PASS  |  www.vippass.com.co  |  Bogotá D.C., Colombia</w:t>
      </w:r>
    </w:p>
    <w:sectPr>
      <w:pgSz w:w="11906" w:h="16838" w:orient="portrait"/>
      <w:pgMar w:top="1440" w:right="126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11827"/>
        <w:sz w:val="20"/>
        <w:szCs w:val="20"/>
      </w:rPr>
    </w:rPrDefault>
    <w:pPrDefault>
      <w:pPr>
        <w:spacing w:line="28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2026-07-23T19:37:57.392Z</dcterms:created>
  <dcterms:modified xsi:type="dcterms:W3CDTF">2026-07-23T19:37:57.407Z</dcterms:modified>
</cp:coreProperties>
</file>

<file path=docProps/custom.xml><?xml version="1.0" encoding="utf-8"?>
<Properties xmlns="http://schemas.openxmlformats.org/officeDocument/2006/custom-properties" xmlns:vt="http://schemas.openxmlformats.org/officeDocument/2006/docPropsVTypes"/>
</file>